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4B64630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E36313">
        <w:t>116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AF75AE">
        <w:rPr>
          <w:sz w:val="32"/>
          <w:szCs w:val="32"/>
        </w:rPr>
        <w:t>2</w:t>
      </w:r>
      <w:r w:rsidR="00DA5880">
        <w:rPr>
          <w:sz w:val="32"/>
          <w:szCs w:val="32"/>
        </w:rPr>
        <w:t>4</w:t>
      </w:r>
      <w:r w:rsidR="000835DF">
        <w:rPr>
          <w:sz w:val="32"/>
          <w:szCs w:val="32"/>
        </w:rPr>
        <w:t>00912</w:t>
      </w:r>
    </w:p>
    <w:p w14:paraId="62CC9869" w14:textId="568AF73F" w:rsidR="00E90E49" w:rsidRPr="00CE0424" w:rsidRDefault="009443EF" w:rsidP="00311702">
      <w:pPr>
        <w:pStyle w:val="3GPPHeader"/>
      </w:pPr>
      <w:r w:rsidRPr="009443EF">
        <w:t>Athens</w:t>
      </w:r>
      <w:r w:rsidR="0027144F" w:rsidRPr="009443EF">
        <w:t xml:space="preserve">, </w:t>
      </w:r>
      <w:r w:rsidRPr="009443EF">
        <w:t>Greece</w:t>
      </w:r>
      <w:r w:rsidR="0027144F" w:rsidRPr="009443EF">
        <w:t xml:space="preserve">, </w:t>
      </w:r>
      <w:r w:rsidRPr="009443EF">
        <w:t>February</w:t>
      </w:r>
      <w:r w:rsidR="0027144F" w:rsidRPr="009443EF">
        <w:t xml:space="preserve"> </w:t>
      </w:r>
      <w:r w:rsidRPr="009443EF">
        <w:t>26</w:t>
      </w:r>
      <w:r w:rsidR="001D53E7" w:rsidRPr="009443EF">
        <w:rPr>
          <w:vertAlign w:val="superscript"/>
        </w:rPr>
        <w:t>th</w:t>
      </w:r>
      <w:r w:rsidRPr="009443EF">
        <w:t xml:space="preserve"> </w:t>
      </w:r>
      <w:r w:rsidR="001D53E7" w:rsidRPr="009443EF">
        <w:t xml:space="preserve">– </w:t>
      </w:r>
      <w:r w:rsidRPr="009443EF">
        <w:t>March 1</w:t>
      </w:r>
      <w:r w:rsidRPr="009443EF">
        <w:rPr>
          <w:vertAlign w:val="superscript"/>
        </w:rPr>
        <w:t>st</w:t>
      </w:r>
      <w:r w:rsidRPr="009443EF">
        <w:t>,</w:t>
      </w:r>
      <w:r w:rsidR="00C37CB2" w:rsidRPr="009443EF">
        <w:t xml:space="preserve"> </w:t>
      </w:r>
      <w:r w:rsidR="0027144F" w:rsidRPr="009443EF">
        <w:t>20</w:t>
      </w:r>
      <w:r w:rsidRPr="009443EF">
        <w:t>24</w:t>
      </w:r>
    </w:p>
    <w:p w14:paraId="5DFFF159" w14:textId="77777777" w:rsidR="00E90E49" w:rsidRPr="00CE0424" w:rsidRDefault="00E90E49" w:rsidP="00357380">
      <w:pPr>
        <w:pStyle w:val="3GPPHeader"/>
      </w:pPr>
    </w:p>
    <w:p w14:paraId="3EDAD12D" w14:textId="20128439" w:rsidR="00E90E49" w:rsidRPr="000F4DB4" w:rsidRDefault="00E90E49" w:rsidP="00311702">
      <w:pPr>
        <w:pStyle w:val="3GPPHeader"/>
        <w:rPr>
          <w:sz w:val="22"/>
          <w:szCs w:val="22"/>
          <w:lang w:val="en-US"/>
        </w:rPr>
      </w:pPr>
      <w:r w:rsidRPr="000F4DB4">
        <w:rPr>
          <w:sz w:val="22"/>
          <w:szCs w:val="22"/>
          <w:lang w:val="en-US"/>
        </w:rPr>
        <w:t>Agenda Item:</w:t>
      </w:r>
      <w:r w:rsidRPr="000F4DB4">
        <w:rPr>
          <w:sz w:val="22"/>
          <w:szCs w:val="22"/>
          <w:lang w:val="en-US"/>
        </w:rPr>
        <w:tab/>
      </w:r>
      <w:r w:rsidR="007831EF" w:rsidRPr="000F4DB4">
        <w:rPr>
          <w:sz w:val="22"/>
          <w:szCs w:val="22"/>
          <w:lang w:val="en-US"/>
        </w:rPr>
        <w:t>9.2.1</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27FA1B78" w:rsidR="00E90E49" w:rsidRPr="00CE0424" w:rsidRDefault="003D3C45" w:rsidP="00311702">
      <w:pPr>
        <w:pStyle w:val="3GPPHeader"/>
        <w:rPr>
          <w:sz w:val="22"/>
          <w:szCs w:val="22"/>
        </w:rPr>
      </w:pPr>
      <w:r>
        <w:rPr>
          <w:sz w:val="22"/>
          <w:szCs w:val="22"/>
        </w:rPr>
        <w:t>Title:</w:t>
      </w:r>
      <w:r w:rsidR="00E90E49" w:rsidRPr="00CE0424">
        <w:rPr>
          <w:sz w:val="22"/>
          <w:szCs w:val="22"/>
        </w:rPr>
        <w:tab/>
      </w:r>
      <w:r w:rsidR="007831EF" w:rsidRPr="007831EF">
        <w:rPr>
          <w:sz w:val="22"/>
          <w:szCs w:val="22"/>
        </w:rPr>
        <w:t>Enhancements for UE-initiated beam management</w:t>
      </w:r>
    </w:p>
    <w:p w14:paraId="38461324" w14:textId="2C5E196C" w:rsidR="00E90E49" w:rsidRPr="003F4727" w:rsidRDefault="00E90E49" w:rsidP="003F4727">
      <w:pPr>
        <w:pStyle w:val="3GPPHeader"/>
        <w:rPr>
          <w:sz w:val="22"/>
          <w:szCs w:val="22"/>
        </w:rPr>
      </w:pPr>
      <w:r w:rsidRPr="00CE0424">
        <w:rPr>
          <w:sz w:val="22"/>
          <w:szCs w:val="22"/>
        </w:rPr>
        <w:t>Document for:</w:t>
      </w:r>
      <w:r w:rsidRPr="00CE0424">
        <w:rPr>
          <w:sz w:val="22"/>
          <w:szCs w:val="22"/>
        </w:rPr>
        <w:tab/>
      </w:r>
      <w:r w:rsidRPr="005F18F8">
        <w:rPr>
          <w:sz w:val="22"/>
          <w:szCs w:val="22"/>
        </w:rPr>
        <w:t>Discussion</w:t>
      </w:r>
    </w:p>
    <w:p w14:paraId="73592EC2" w14:textId="77777777" w:rsidR="00E90E49" w:rsidRPr="00CE0424" w:rsidRDefault="00230D18" w:rsidP="00CE0424">
      <w:pPr>
        <w:pStyle w:val="Heading1"/>
      </w:pPr>
      <w:r>
        <w:t>1</w:t>
      </w:r>
      <w:r>
        <w:tab/>
      </w:r>
      <w:r w:rsidR="00E90E49" w:rsidRPr="00CE042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rPr>
          <w:lang w:val="en-US"/>
        </w:rPr>
      </w:pPr>
      <w:r w:rsidRPr="00EE7259">
        <w:rPr>
          <w:noProof/>
          <w:lang w:val="en-US"/>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081F00">
                            <w:pPr>
                              <w:numPr>
                                <w:ilvl w:val="0"/>
                                <w:numId w:val="30"/>
                              </w:numPr>
                              <w:overflowPunct/>
                              <w:autoSpaceDE/>
                              <w:autoSpaceDN/>
                              <w:adjustRightInd/>
                              <w:snapToGrid w:val="0"/>
                              <w:spacing w:after="0"/>
                              <w:textAlignment w:val="auto"/>
                              <w:rPr>
                                <w:szCs w:val="24"/>
                                <w:lang w:val="en-US" w:eastAsia="en-US"/>
                              </w:rPr>
                            </w:pPr>
                            <w:bookmarkStart w:id="0" w:name="_Hlk145555364"/>
                            <w:r w:rsidRPr="000D100E">
                              <w:rPr>
                                <w:szCs w:val="24"/>
                                <w:lang w:val="en-US"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szCs w:val="24"/>
                                <w:lang w:val="en-US" w:eastAsia="en-US"/>
                              </w:rPr>
                              <w:t>sTRP</w:t>
                            </w:r>
                            <w:proofErr w:type="spellEnd"/>
                            <w:r w:rsidRPr="000D100E">
                              <w:rPr>
                                <w:szCs w:val="24"/>
                                <w:lang w:val="en-US" w:eastAsia="en-US"/>
                              </w:rPr>
                              <w:t xml:space="preserve"> with intra- and inter-cell beam management</w:t>
                            </w:r>
                          </w:p>
                          <w:p w14:paraId="06908DAA" w14:textId="77777777" w:rsidR="00081F00" w:rsidRPr="000D100E" w:rsidRDefault="00081F00" w:rsidP="00081F00">
                            <w:pPr>
                              <w:numPr>
                                <w:ilvl w:val="1"/>
                                <w:numId w:val="30"/>
                              </w:numPr>
                              <w:overflowPunct/>
                              <w:autoSpaceDE/>
                              <w:autoSpaceDN/>
                              <w:adjustRightInd/>
                              <w:snapToGrid w:val="0"/>
                              <w:spacing w:after="0"/>
                              <w:textAlignment w:val="auto"/>
                              <w:rPr>
                                <w:szCs w:val="24"/>
                                <w:lang w:val="en-US" w:eastAsia="en-US"/>
                              </w:rPr>
                            </w:pPr>
                            <w:r w:rsidRPr="000D100E">
                              <w:rPr>
                                <w:szCs w:val="24"/>
                                <w:lang w:val="en-US" w:eastAsia="en-US"/>
                              </w:rPr>
                              <w:t xml:space="preserve">UL signaling content(s) </w:t>
                            </w:r>
                            <w:r>
                              <w:rPr>
                                <w:szCs w:val="24"/>
                                <w:lang w:val="en-US" w:eastAsia="en-US"/>
                              </w:rPr>
                              <w:t xml:space="preserve">(and procedure(s) as required) </w:t>
                            </w:r>
                            <w:r w:rsidRPr="000D100E">
                              <w:rPr>
                                <w:szCs w:val="24"/>
                                <w:lang w:val="en-US" w:eastAsia="en-US"/>
                              </w:rPr>
                              <w:t xml:space="preserve">for UE-initiated/event-driven beam reporting facilitating fast beam </w:t>
                            </w:r>
                            <w:proofErr w:type="gramStart"/>
                            <w:r w:rsidRPr="000D100E">
                              <w:rPr>
                                <w:szCs w:val="24"/>
                                <w:lang w:val="en-US" w:eastAsia="en-US"/>
                              </w:rPr>
                              <w:t>switching</w:t>
                            </w:r>
                            <w:proofErr w:type="gramEnd"/>
                            <w:r w:rsidRPr="000D100E">
                              <w:rPr>
                                <w:szCs w:val="24"/>
                                <w:lang w:val="en-US" w:eastAsia="en-US"/>
                              </w:rPr>
                              <w:t xml:space="preserve"> </w:t>
                            </w:r>
                          </w:p>
                          <w:p w14:paraId="1665920D" w14:textId="018A7961" w:rsidR="00EE7259" w:rsidRDefault="00081F00">
                            <w:pPr>
                              <w:numPr>
                                <w:ilvl w:val="1"/>
                                <w:numId w:val="30"/>
                              </w:numPr>
                              <w:overflowPunct/>
                              <w:autoSpaceDE/>
                              <w:autoSpaceDN/>
                              <w:adjustRightInd/>
                              <w:snapToGrid w:val="0"/>
                              <w:spacing w:after="0"/>
                              <w:textAlignment w:val="auto"/>
                            </w:pPr>
                            <w:r w:rsidRPr="00081F00">
                              <w:rPr>
                                <w:szCs w:val="24"/>
                                <w:lang w:val="en-US" w:eastAsia="en-US"/>
                              </w:rPr>
                              <w:t xml:space="preserve">UL signaling medium/container considering the UE-initiated/event-driven nature of the UL transmission, designed primarily for the purpose of beam </w:t>
                            </w:r>
                            <w:proofErr w:type="gramStart"/>
                            <w:r w:rsidRPr="00081F00">
                              <w:rPr>
                                <w:szCs w:val="24"/>
                                <w:lang w:val="en-US" w:eastAsia="en-US"/>
                              </w:rPr>
                              <w:t>reporting</w:t>
                            </w:r>
                            <w:bookmarkEnd w:id="0"/>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081F00">
                      <w:pPr>
                        <w:numPr>
                          <w:ilvl w:val="0"/>
                          <w:numId w:val="30"/>
                        </w:numPr>
                        <w:overflowPunct/>
                        <w:autoSpaceDE/>
                        <w:autoSpaceDN/>
                        <w:adjustRightInd/>
                        <w:snapToGrid w:val="0"/>
                        <w:spacing w:after="0"/>
                        <w:textAlignment w:val="auto"/>
                        <w:rPr>
                          <w:szCs w:val="24"/>
                          <w:lang w:val="en-US" w:eastAsia="en-US"/>
                        </w:rPr>
                      </w:pPr>
                      <w:bookmarkStart w:id="1" w:name="_Hlk145555364"/>
                      <w:r w:rsidRPr="000D100E">
                        <w:rPr>
                          <w:szCs w:val="24"/>
                          <w:lang w:val="en-US"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szCs w:val="24"/>
                          <w:lang w:val="en-US" w:eastAsia="en-US"/>
                        </w:rPr>
                        <w:t>sTRP</w:t>
                      </w:r>
                      <w:proofErr w:type="spellEnd"/>
                      <w:r w:rsidRPr="000D100E">
                        <w:rPr>
                          <w:szCs w:val="24"/>
                          <w:lang w:val="en-US" w:eastAsia="en-US"/>
                        </w:rPr>
                        <w:t xml:space="preserve"> with intra- and inter-cell beam management</w:t>
                      </w:r>
                    </w:p>
                    <w:p w14:paraId="06908DAA" w14:textId="77777777" w:rsidR="00081F00" w:rsidRPr="000D100E" w:rsidRDefault="00081F00" w:rsidP="00081F00">
                      <w:pPr>
                        <w:numPr>
                          <w:ilvl w:val="1"/>
                          <w:numId w:val="30"/>
                        </w:numPr>
                        <w:overflowPunct/>
                        <w:autoSpaceDE/>
                        <w:autoSpaceDN/>
                        <w:adjustRightInd/>
                        <w:snapToGrid w:val="0"/>
                        <w:spacing w:after="0"/>
                        <w:textAlignment w:val="auto"/>
                        <w:rPr>
                          <w:szCs w:val="24"/>
                          <w:lang w:val="en-US" w:eastAsia="en-US"/>
                        </w:rPr>
                      </w:pPr>
                      <w:r w:rsidRPr="000D100E">
                        <w:rPr>
                          <w:szCs w:val="24"/>
                          <w:lang w:val="en-US" w:eastAsia="en-US"/>
                        </w:rPr>
                        <w:t xml:space="preserve">UL signaling content(s) </w:t>
                      </w:r>
                      <w:r>
                        <w:rPr>
                          <w:szCs w:val="24"/>
                          <w:lang w:val="en-US" w:eastAsia="en-US"/>
                        </w:rPr>
                        <w:t xml:space="preserve">(and procedure(s) as required) </w:t>
                      </w:r>
                      <w:r w:rsidRPr="000D100E">
                        <w:rPr>
                          <w:szCs w:val="24"/>
                          <w:lang w:val="en-US" w:eastAsia="en-US"/>
                        </w:rPr>
                        <w:t xml:space="preserve">for UE-initiated/event-driven beam reporting facilitating fast beam </w:t>
                      </w:r>
                      <w:proofErr w:type="gramStart"/>
                      <w:r w:rsidRPr="000D100E">
                        <w:rPr>
                          <w:szCs w:val="24"/>
                          <w:lang w:val="en-US" w:eastAsia="en-US"/>
                        </w:rPr>
                        <w:t>switching</w:t>
                      </w:r>
                      <w:proofErr w:type="gramEnd"/>
                      <w:r w:rsidRPr="000D100E">
                        <w:rPr>
                          <w:szCs w:val="24"/>
                          <w:lang w:val="en-US" w:eastAsia="en-US"/>
                        </w:rPr>
                        <w:t xml:space="preserve"> </w:t>
                      </w:r>
                    </w:p>
                    <w:p w14:paraId="1665920D" w14:textId="018A7961" w:rsidR="00EE7259" w:rsidRDefault="00081F00">
                      <w:pPr>
                        <w:numPr>
                          <w:ilvl w:val="1"/>
                          <w:numId w:val="30"/>
                        </w:numPr>
                        <w:overflowPunct/>
                        <w:autoSpaceDE/>
                        <w:autoSpaceDN/>
                        <w:adjustRightInd/>
                        <w:snapToGrid w:val="0"/>
                        <w:spacing w:after="0"/>
                        <w:textAlignment w:val="auto"/>
                      </w:pPr>
                      <w:r w:rsidRPr="00081F00">
                        <w:rPr>
                          <w:szCs w:val="24"/>
                          <w:lang w:val="en-US" w:eastAsia="en-US"/>
                        </w:rPr>
                        <w:t xml:space="preserve">UL signaling medium/container considering the UE-initiated/event-driven nature of the UL transmission, designed primarily for the purpose of beam </w:t>
                      </w:r>
                      <w:proofErr w:type="gramStart"/>
                      <w:r w:rsidRPr="00081F00">
                        <w:rPr>
                          <w:szCs w:val="24"/>
                          <w:lang w:val="en-US" w:eastAsia="en-US"/>
                        </w:rPr>
                        <w:t>reporting</w:t>
                      </w:r>
                      <w:bookmarkEnd w:id="1"/>
                      <w:proofErr w:type="gramEnd"/>
                    </w:p>
                  </w:txbxContent>
                </v:textbox>
                <w10:anchorlock/>
              </v:shape>
            </w:pict>
          </mc:Fallback>
        </mc:AlternateContent>
      </w:r>
    </w:p>
    <w:p w14:paraId="19C514C9" w14:textId="20211367" w:rsidR="004A22F4" w:rsidRPr="00391B09" w:rsidRDefault="00037ABB" w:rsidP="009C4CC3">
      <w:pPr>
        <w:pStyle w:val="BodyText"/>
        <w:rPr>
          <w:lang w:val="en-US"/>
        </w:rPr>
      </w:pPr>
      <w:r>
        <w:rPr>
          <w:lang w:val="en-US"/>
        </w:rPr>
        <w:t>In this contribution</w:t>
      </w:r>
      <w:r w:rsidR="0083445E">
        <w:rPr>
          <w:lang w:val="en-US"/>
        </w:rPr>
        <w:t>,</w:t>
      </w:r>
      <w:r w:rsidR="00F96124">
        <w:rPr>
          <w:lang w:val="en-US"/>
        </w:rPr>
        <w:t xml:space="preserve"> </w:t>
      </w:r>
      <w:r w:rsidR="00A8494E">
        <w:rPr>
          <w:lang w:val="en-US"/>
        </w:rPr>
        <w:t xml:space="preserve">we </w:t>
      </w:r>
      <w:r w:rsidR="000E4F37">
        <w:rPr>
          <w:lang w:val="en-US"/>
        </w:rPr>
        <w:t>discuss</w:t>
      </w:r>
      <w:r w:rsidR="001B7C44">
        <w:rPr>
          <w:lang w:val="en-US"/>
        </w:rPr>
        <w:t xml:space="preserve"> fundamental issues related to UE-initiated or event-driven reporting.</w:t>
      </w:r>
      <w:r w:rsidR="001B7C44">
        <w:rPr>
          <w:rStyle w:val="CommentReference"/>
          <w:rFonts w:ascii="Times New Roman" w:hAnsi="Times New Roman"/>
          <w:lang w:eastAsia="ja-JP"/>
        </w:rPr>
        <w:t xml:space="preserve"> </w:t>
      </w:r>
      <w:r w:rsidR="00137A94">
        <w:rPr>
          <w:lang w:val="en-US"/>
        </w:rPr>
        <w:t>We will put some extra emphasis on the framework surrounding the reporting, i.e., the events. The WID does not explicitly state that events should be specified, but as we will describe, having an understanding the properties of the events is required to take the event-driven nature of the UL transmission into account.</w:t>
      </w:r>
    </w:p>
    <w:p w14:paraId="2647FF6D" w14:textId="4AE84513" w:rsidR="009B24EC" w:rsidRDefault="00230D18" w:rsidP="003949D5">
      <w:pPr>
        <w:pStyle w:val="Heading1"/>
      </w:pPr>
      <w:bookmarkStart w:id="2" w:name="_Ref178064866"/>
      <w:r>
        <w:t>2</w:t>
      </w:r>
      <w:r>
        <w:tab/>
      </w:r>
      <w:r w:rsidR="004000E8" w:rsidRPr="00CE0424">
        <w:t>Discussion</w:t>
      </w:r>
      <w:bookmarkEnd w:id="2"/>
    </w:p>
    <w:p w14:paraId="463ED374" w14:textId="71B1CFE6" w:rsidR="003949D5" w:rsidRPr="007673DD" w:rsidRDefault="003949D5" w:rsidP="009B24EC">
      <w:pPr>
        <w:pStyle w:val="BodyText"/>
      </w:pPr>
      <w:r w:rsidRPr="007673DD">
        <w:t xml:space="preserve">Ever since Rel-15, NR supports intra-cell and inter-cell mobility. The procedures related to intra-cell mobility are called </w:t>
      </w:r>
      <w:r w:rsidRPr="007673DD">
        <w:rPr>
          <w:i/>
          <w:iCs/>
        </w:rPr>
        <w:t>beam management</w:t>
      </w:r>
      <w:r w:rsidRPr="007673DD">
        <w:t xml:space="preserve">, and involve periodic, semi-persistent and aperiodic beam measurements, which are used as a basis for beam indication </w:t>
      </w:r>
      <w:r w:rsidR="00137A94" w:rsidRPr="007673DD">
        <w:t>signalling</w:t>
      </w:r>
      <w:r w:rsidRPr="007673DD">
        <w:t xml:space="preserve"> from the NW to the UE. Inter-cell mobility, also known as L3 mobility, </w:t>
      </w:r>
      <w:r w:rsidR="007673DD" w:rsidRPr="007673DD">
        <w:t xml:space="preserve">relies on event-driven driven reporting, which is used as a basis for HO </w:t>
      </w:r>
      <w:r w:rsidR="00137A94" w:rsidRPr="007673DD">
        <w:t>signalling</w:t>
      </w:r>
      <w:r w:rsidR="007673DD" w:rsidRPr="007673DD">
        <w:t>. With event-driven reporting, the UE continuously evaluates the quality of DL reference signals, and only if certain conditions are fulfilled, the UE sends a report to th</w:t>
      </w:r>
      <w:r w:rsidR="00137A94">
        <w:t>e</w:t>
      </w:r>
      <w:r w:rsidR="007673DD" w:rsidRPr="007673DD">
        <w:t xml:space="preserve"> NW. This event-driven reporting significantly reduces </w:t>
      </w:r>
      <w:r w:rsidR="00137A94" w:rsidRPr="007673DD">
        <w:t>signalling</w:t>
      </w:r>
      <w:r w:rsidR="007673DD" w:rsidRPr="007673DD">
        <w:t xml:space="preserve"> overhead and has been the main paradigm for inter-cell mobility in 3G, 4G and 5G.</w:t>
      </w:r>
    </w:p>
    <w:p w14:paraId="564064D8" w14:textId="15186307" w:rsidR="007673DD" w:rsidRDefault="007673DD" w:rsidP="009B24EC">
      <w:pPr>
        <w:pStyle w:val="BodyText"/>
      </w:pPr>
      <w:r w:rsidRPr="007673DD">
        <w:t>For intra-cell mobility, the</w:t>
      </w:r>
      <w:r>
        <w:t>re is no event-driven reporting</w:t>
      </w:r>
      <w:r w:rsidRPr="007673DD">
        <w:t xml:space="preserve"> </w:t>
      </w:r>
      <w:r>
        <w:t xml:space="preserve">specified. </w:t>
      </w:r>
      <w:r w:rsidR="00137A94">
        <w:t>The motivation would be to reduce the signalling overhead while maintaining reasonably fast discovery of changing propagation conditions. As soon as the UE discovers that the propagation conditions have changed, the UE would notify the NW.</w:t>
      </w:r>
    </w:p>
    <w:p w14:paraId="3D6BF6CE" w14:textId="382A47CD" w:rsidR="00137A94" w:rsidRPr="007673DD" w:rsidRDefault="00137A94" w:rsidP="009B24EC">
      <w:pPr>
        <w:pStyle w:val="BodyText"/>
      </w:pPr>
      <w:r>
        <w:t>When discussing the events, it is useful to revisit the three main event-driven frameworks we have in NR today:</w:t>
      </w:r>
    </w:p>
    <w:p w14:paraId="16A75A5F" w14:textId="46B13C95" w:rsidR="00284E46" w:rsidRDefault="00284E46" w:rsidP="00D703E8">
      <w:pPr>
        <w:pStyle w:val="ListBullet"/>
      </w:pPr>
      <w:r>
        <w:t xml:space="preserve">The L3 reporting used as a basis for mobility decisions. This framework is quite comprehensive. There are multiple types of events with different properties. The events are based on filtered measurements of RSRP, RSRQ or SINR. </w:t>
      </w:r>
      <w:r w:rsidR="00D81B8F">
        <w:t xml:space="preserve">The events come in pairs: for each event, an </w:t>
      </w:r>
      <w:r w:rsidR="00D81B8F">
        <w:rPr>
          <w:i/>
          <w:iCs/>
        </w:rPr>
        <w:t xml:space="preserve">entering event condition </w:t>
      </w:r>
      <w:r w:rsidR="00D81B8F">
        <w:t xml:space="preserve">and a </w:t>
      </w:r>
      <w:r w:rsidR="00D81B8F">
        <w:rPr>
          <w:i/>
          <w:iCs/>
        </w:rPr>
        <w:t xml:space="preserve">leaving event condition </w:t>
      </w:r>
      <w:r w:rsidR="00D81B8F">
        <w:t>are defined. The entering event condition is triggered when a condition is fulfilled for the first time, which causes the UE to send a measurement report. Note that the report is only sent once</w:t>
      </w:r>
      <w:r w:rsidR="008917B8">
        <w:t xml:space="preserve"> (or a fixed number</w:t>
      </w:r>
      <w:r w:rsidR="00880EF4">
        <w:t xml:space="preserve"> of times</w:t>
      </w:r>
      <w:r w:rsidR="008917B8">
        <w:t>)</w:t>
      </w:r>
      <w:r w:rsidR="00D81B8F">
        <w:t>, even if the condition is still fulfilled. The event leaving condition is triggered the first time the condition is no longer fulfilled. This design results in a low overhead, since the report is only transmitted once.</w:t>
      </w:r>
      <w:r w:rsidR="00D703E8" w:rsidRPr="00D703E8">
        <w:t xml:space="preserve"> </w:t>
      </w:r>
      <w:r w:rsidR="00D703E8">
        <w:t xml:space="preserve">The report content is quite flexible: both the cell quality </w:t>
      </w:r>
      <w:r w:rsidR="00705A7E">
        <w:t xml:space="preserve">of triggered cell(s) </w:t>
      </w:r>
      <w:r w:rsidR="00880EF4">
        <w:t>is</w:t>
      </w:r>
      <w:r w:rsidR="00705A7E">
        <w:t xml:space="preserve"> </w:t>
      </w:r>
      <w:r w:rsidR="00D703E8">
        <w:t xml:space="preserve">included, as well as </w:t>
      </w:r>
      <w:r w:rsidR="00705A7E">
        <w:t xml:space="preserve">L3 filtered beam </w:t>
      </w:r>
      <w:r w:rsidR="00D703E8">
        <w:t>measurements on other reference signals. The report is reliably sent over RRC.</w:t>
      </w:r>
    </w:p>
    <w:p w14:paraId="31C1435E" w14:textId="77777777" w:rsidR="0062004E" w:rsidRDefault="0062004E" w:rsidP="0062004E">
      <w:pPr>
        <w:pStyle w:val="ListBullet"/>
      </w:pPr>
      <w:r>
        <w:t xml:space="preserve">Power headroom reporting, which is used to inform the NW that the power headroom, i.e., the amount of available transmit power has changed. This report can be triggered when the difference between the </w:t>
      </w:r>
      <w:r>
        <w:lastRenderedPageBreak/>
        <w:t xml:space="preserve">current and the previous pathloss is larger than a configurable value. The power headroom report triggering is also controlled by timers, to avoid too frequent triggering. </w:t>
      </w:r>
    </w:p>
    <w:p w14:paraId="622C0A33" w14:textId="05EACB6B" w:rsidR="00D81B8F" w:rsidRDefault="00D703E8" w:rsidP="00284E46">
      <w:pPr>
        <w:pStyle w:val="ListBullet"/>
      </w:pPr>
      <w:r>
        <w:t xml:space="preserve">The BFR procedure, which was introduced in Rel-15, and subsequently extended in Rel-16 and Rel-17. In BFR, the UE evaluates the quality of a specific reference signal, and if the quality of that reference signal consecutively falls below a certain threshold a certain number of times, the UE declares beam failure. In SCell BFR, the UE subsequently informs the network about a new beam by transmitting a measurement report using MAC CE.  </w:t>
      </w:r>
    </w:p>
    <w:p w14:paraId="70E09A24" w14:textId="550172AF" w:rsidR="009B24EC" w:rsidRDefault="009B24EC" w:rsidP="009B24EC">
      <w:pPr>
        <w:pStyle w:val="Heading2"/>
      </w:pPr>
      <w:r>
        <w:t>2.1</w:t>
      </w:r>
      <w:r>
        <w:tab/>
        <w:t>Requirements</w:t>
      </w:r>
      <w:r w:rsidR="00F33C07">
        <w:t xml:space="preserve"> on UE-initiated reporting</w:t>
      </w:r>
    </w:p>
    <w:p w14:paraId="5B707458" w14:textId="36CBCA62" w:rsidR="009B24EC" w:rsidRDefault="009B24EC" w:rsidP="009B24EC">
      <w:pPr>
        <w:pStyle w:val="BodyText"/>
      </w:pPr>
      <w:r>
        <w:t xml:space="preserve">Before diving into the details on how to specify UE-initiated reporting, it is </w:t>
      </w:r>
      <w:r w:rsidR="00BB230A">
        <w:t>beneficial to discuss the requirements of such reporting. This is even more important, since almost all reporting designed in RAN1 is NW-initiated</w:t>
      </w:r>
      <w:r w:rsidR="00957F77">
        <w:t>.</w:t>
      </w:r>
      <w:r w:rsidR="008C798D">
        <w:t xml:space="preserve"> </w:t>
      </w:r>
      <w:r w:rsidR="00957F77">
        <w:t>In other words, systematic UE-initiated reporting is uncharted territory.</w:t>
      </w:r>
    </w:p>
    <w:p w14:paraId="2CEF6BDD" w14:textId="5B522D35" w:rsidR="0080122F" w:rsidRDefault="0080122F" w:rsidP="009B24EC">
      <w:pPr>
        <w:pStyle w:val="BodyText"/>
      </w:pPr>
      <w:r>
        <w:t>In our view, the following requirements apply to UE-initiated reporting:</w:t>
      </w:r>
    </w:p>
    <w:p w14:paraId="0DF343C4" w14:textId="1C5C1F31" w:rsidR="00B103E4" w:rsidRDefault="00E64B97" w:rsidP="009B24EC">
      <w:pPr>
        <w:pStyle w:val="BodyText"/>
      </w:pPr>
      <w:r w:rsidRPr="00E64B97">
        <w:rPr>
          <w:u w:val="single"/>
        </w:rPr>
        <w:t>Reliability.</w:t>
      </w:r>
      <w:r>
        <w:t xml:space="preserve"> </w:t>
      </w:r>
      <w:r w:rsidR="007A3052">
        <w:t xml:space="preserve"> </w:t>
      </w:r>
      <w:r w:rsidR="00F41868">
        <w:t xml:space="preserve">All legacy </w:t>
      </w:r>
      <w:r w:rsidR="009976DB">
        <w:t xml:space="preserve">CSI reporting is NW-initiated. This means that the NW can directly determine when a report was not </w:t>
      </w:r>
      <w:r w:rsidR="00001D0B">
        <w:t xml:space="preserve">correctly </w:t>
      </w:r>
      <w:r w:rsidR="009976DB">
        <w:t>received</w:t>
      </w:r>
      <w:r w:rsidR="00A24F93">
        <w:t xml:space="preserve"> (</w:t>
      </w:r>
      <w:r w:rsidR="00001D0B">
        <w:t xml:space="preserve">except for </w:t>
      </w:r>
      <w:r w:rsidR="00A24F93">
        <w:t xml:space="preserve">really small CSI reports, </w:t>
      </w:r>
      <w:r w:rsidR="00001D0B">
        <w:t xml:space="preserve">where there </w:t>
      </w:r>
      <w:r w:rsidR="00A24F93">
        <w:t xml:space="preserve">is </w:t>
      </w:r>
      <w:proofErr w:type="gramStart"/>
      <w:r w:rsidR="00A24F93">
        <w:t>no</w:t>
      </w:r>
      <w:proofErr w:type="gramEnd"/>
      <w:r w:rsidR="00001D0B">
        <w:t xml:space="preserve"> a</w:t>
      </w:r>
      <w:r w:rsidR="00A24F93">
        <w:t xml:space="preserve"> CRC)</w:t>
      </w:r>
      <w:r w:rsidR="009976DB">
        <w:t xml:space="preserve">. Also, the legacy reporting is designed so that </w:t>
      </w:r>
      <w:r w:rsidR="009C3CC5">
        <w:t>one CSI report</w:t>
      </w:r>
      <w:r w:rsidR="00306BFE">
        <w:t xml:space="preserve"> could be missed, since the</w:t>
      </w:r>
      <w:r w:rsidR="009C3CC5">
        <w:t xml:space="preserve"> next report would </w:t>
      </w:r>
      <w:r w:rsidR="00306BFE">
        <w:t xml:space="preserve">be transmitted </w:t>
      </w:r>
      <w:r w:rsidR="002912CB">
        <w:t>rather soon. This had led to that beam reporting was designed without a possibility for retransmissions.</w:t>
      </w:r>
    </w:p>
    <w:p w14:paraId="4176112D" w14:textId="2F9FD5B2" w:rsidR="00C02D5A" w:rsidRDefault="00DA10E6" w:rsidP="009B24EC">
      <w:pPr>
        <w:pStyle w:val="BodyText"/>
      </w:pPr>
      <w:r>
        <w:t>For UE-initiated reporting, the situation is different: the N</w:t>
      </w:r>
      <w:r w:rsidR="009E4629">
        <w:t>W</w:t>
      </w:r>
      <w:r>
        <w:t xml:space="preserve"> does not know that a report is coming, and it cannot determine if a report was missed. If a report is missed, </w:t>
      </w:r>
      <w:r w:rsidR="007D4B8A">
        <w:t>the UE will fail to convey the information that the event has occurred.</w:t>
      </w:r>
      <w:r w:rsidR="00C02D5A">
        <w:t xml:space="preserve"> Clearly, this will lead to a performance impairment.</w:t>
      </w:r>
    </w:p>
    <w:p w14:paraId="3B794E22" w14:textId="77777777" w:rsidR="00E4555A" w:rsidRDefault="00C02D5A" w:rsidP="009B24EC">
      <w:pPr>
        <w:pStyle w:val="BodyText"/>
      </w:pPr>
      <w:r>
        <w:rPr>
          <w:u w:val="single"/>
        </w:rPr>
        <w:t>Flexibility</w:t>
      </w:r>
      <w:r w:rsidRPr="00E64B97">
        <w:rPr>
          <w:u w:val="single"/>
        </w:rPr>
        <w:t>.</w:t>
      </w:r>
      <w:r w:rsidR="00C62FCE">
        <w:t xml:space="preserve"> As described above, the L3 reporting can be configured in many ways</w:t>
      </w:r>
      <w:r w:rsidR="00B34316">
        <w:t xml:space="preserve">, e.g., regarding event type, measurement quantity or measurement target. UE-initiated beam reporting </w:t>
      </w:r>
      <w:r w:rsidR="000B0D94">
        <w:t xml:space="preserve">would also benefit from some level of configurability, although </w:t>
      </w:r>
      <w:r w:rsidR="00350719">
        <w:t>not all the flexibility of the L3 reporting is motivated: e.g., there is no need to configure inter-frequency or inter-RAT beam reporting. However, it is probably relevant to be able to define both absolute and relative events</w:t>
      </w:r>
      <w:r w:rsidR="00F5018F">
        <w:t>, and to define events of the same type but with different parameters</w:t>
      </w:r>
      <w:r w:rsidR="00752CD8">
        <w:t xml:space="preserve">. It </w:t>
      </w:r>
      <w:r w:rsidR="00350719">
        <w:t>would also be relevant</w:t>
      </w:r>
      <w:r w:rsidR="00752CD8">
        <w:t xml:space="preserve"> to define </w:t>
      </w:r>
      <w:r w:rsidR="00350719">
        <w:t xml:space="preserve">events </w:t>
      </w:r>
      <w:r w:rsidR="00752CD8">
        <w:t xml:space="preserve">with </w:t>
      </w:r>
      <w:r w:rsidR="00562F43">
        <w:t>different measurement quantities.</w:t>
      </w:r>
      <w:r w:rsidR="00350719">
        <w:t xml:space="preserve"> </w:t>
      </w:r>
    </w:p>
    <w:p w14:paraId="10B8526E" w14:textId="5B6C5024" w:rsidR="00DA10E6" w:rsidRPr="00C62FCE" w:rsidRDefault="00E4555A" w:rsidP="009B24EC">
      <w:pPr>
        <w:pStyle w:val="BodyText"/>
      </w:pPr>
      <w:r>
        <w:t>In addition, the events defined for L3 reporting typically have a certain use case in mind</w:t>
      </w:r>
      <w:r w:rsidR="000F4DB4">
        <w:t>,</w:t>
      </w:r>
      <w:r>
        <w:t xml:space="preserve"> e.g.</w:t>
      </w:r>
      <w:r w:rsidR="000F4DB4">
        <w:t>,</w:t>
      </w:r>
      <w:r>
        <w:t xml:space="preserve"> an </w:t>
      </w:r>
      <w:r w:rsidR="00091E6D">
        <w:t>A</w:t>
      </w:r>
      <w:r>
        <w:t xml:space="preserve">3 event has been defined (neighbour cell becomes an offset better than PCell) </w:t>
      </w:r>
      <w:r w:rsidR="000C7D2B">
        <w:t>so that when that situation occurs the UE sends the measurement report and receives a HO command.</w:t>
      </w:r>
    </w:p>
    <w:p w14:paraId="63E4E91C" w14:textId="2A38A822" w:rsidR="00C02D5A" w:rsidRPr="00752CD8" w:rsidRDefault="00C02D5A" w:rsidP="00C02D5A">
      <w:pPr>
        <w:pStyle w:val="BodyText"/>
      </w:pPr>
      <w:r>
        <w:rPr>
          <w:u w:val="single"/>
        </w:rPr>
        <w:t>Low overhead</w:t>
      </w:r>
      <w:r w:rsidRPr="00E64B97">
        <w:rPr>
          <w:u w:val="single"/>
        </w:rPr>
        <w:t>.</w:t>
      </w:r>
      <w:r w:rsidR="00752CD8">
        <w:t xml:space="preserve"> The main motivation for UE-initiated reporting is to reduce overhead, i.e., to avoid transmitting measurement reports </w:t>
      </w:r>
      <w:r w:rsidR="00003E7A">
        <w:t>that would not result in a beam switch</w:t>
      </w:r>
      <w:r w:rsidR="00596391">
        <w:t xml:space="preserve">: ideally, each transmitted report should result in a beam switch. This means there must be a mechanism to avoid </w:t>
      </w:r>
      <w:r w:rsidR="009B4D77">
        <w:t>transmitting reports based on measurement errors or fading dips/peaks.</w:t>
      </w:r>
    </w:p>
    <w:p w14:paraId="16A3638E" w14:textId="692BA806" w:rsidR="00C02D5A" w:rsidRPr="009B4D77" w:rsidRDefault="00C02D5A" w:rsidP="00C02D5A">
      <w:pPr>
        <w:pStyle w:val="BodyText"/>
      </w:pPr>
      <w:r>
        <w:rPr>
          <w:u w:val="single"/>
        </w:rPr>
        <w:t>Flexible report content</w:t>
      </w:r>
      <w:r w:rsidRPr="00E64B97">
        <w:rPr>
          <w:u w:val="single"/>
        </w:rPr>
        <w:t>.</w:t>
      </w:r>
      <w:r w:rsidR="009B4D77">
        <w:t xml:space="preserve"> As </w:t>
      </w:r>
      <w:r w:rsidR="00F33B52">
        <w:t>the UE determines when a condition is fulfilled, it also makes sense that the UE determines the contents of the report, within reasonable limits of course. When multiple events have been configured</w:t>
      </w:r>
      <w:r w:rsidR="00F91C7B">
        <w:t xml:space="preserve">, the reporting content may be different for different events. In contrast, the legacy beam reporting format is fixed. This </w:t>
      </w:r>
      <w:r w:rsidR="006F1E17">
        <w:t>format is not well-suited for the case with different events.</w:t>
      </w:r>
    </w:p>
    <w:p w14:paraId="7299331E" w14:textId="1AEAEB54" w:rsidR="00C02D5A" w:rsidRPr="006F1E17" w:rsidRDefault="00C02D5A" w:rsidP="00C02D5A">
      <w:pPr>
        <w:pStyle w:val="BodyText"/>
      </w:pPr>
      <w:r>
        <w:rPr>
          <w:u w:val="single"/>
        </w:rPr>
        <w:t>Reporting speed</w:t>
      </w:r>
      <w:r w:rsidRPr="00E64B97">
        <w:rPr>
          <w:u w:val="single"/>
        </w:rPr>
        <w:t>.</w:t>
      </w:r>
      <w:r w:rsidR="006F1E17">
        <w:t xml:space="preserve"> The report should be fast enough to give the NW time to update the TCI state of the UE. Here we should note that UE-ini</w:t>
      </w:r>
      <w:r w:rsidR="007C2392">
        <w:t xml:space="preserve">tiated beam reporting can never be faster than periodic reporting. Also note that the overall speed of a UE-initiated beam reporting scheme is limited by the reference signal periodicity (it is not possible to detect </w:t>
      </w:r>
      <w:proofErr w:type="gramStart"/>
      <w:r w:rsidR="007C2392">
        <w:t>a new best</w:t>
      </w:r>
      <w:proofErr w:type="gramEnd"/>
      <w:r w:rsidR="007C2392">
        <w:t xml:space="preserve"> beam between SSB occasions) and the delay to request UL resources to transmit the beam report. </w:t>
      </w:r>
    </w:p>
    <w:p w14:paraId="7B1058F6" w14:textId="0175D51F" w:rsidR="007572F6" w:rsidRDefault="00230D18" w:rsidP="00F63950">
      <w:pPr>
        <w:pStyle w:val="Heading2"/>
      </w:pPr>
      <w:r>
        <w:t>2.1</w:t>
      </w:r>
      <w:r>
        <w:tab/>
      </w:r>
      <w:r w:rsidR="009C4CC3">
        <w:t>Event</w:t>
      </w:r>
    </w:p>
    <w:p w14:paraId="0180CCCD" w14:textId="28846607" w:rsidR="00B43D40" w:rsidRDefault="00B43D40" w:rsidP="00B43D40">
      <w:pPr>
        <w:pStyle w:val="BodyText"/>
      </w:pPr>
      <w:r>
        <w:t xml:space="preserve">Events are not part of the WI objective. Typically, events are specified in RAN2 and not in RAN1, which is one reason why the event definition is not part of the WID for MIMO Phase 5. Specifying these events would be beyond what RAN1 could achieve in one release. </w:t>
      </w:r>
    </w:p>
    <w:p w14:paraId="01476CF4" w14:textId="77777777" w:rsidR="000E7412" w:rsidRDefault="00B43D40" w:rsidP="00B43D40">
      <w:pPr>
        <w:pStyle w:val="BodyText"/>
      </w:pPr>
      <w:r>
        <w:t xml:space="preserve">However, the WID states that the event-driven nature of the reporting should be considered. This requires that RAN1 has some level of common understanding </w:t>
      </w:r>
      <w:r w:rsidR="008A062D">
        <w:t>on about what events that</w:t>
      </w:r>
      <w:r w:rsidR="000E7412">
        <w:t xml:space="preserve"> leads to that the UE initiates the reporting.</w:t>
      </w:r>
    </w:p>
    <w:p w14:paraId="6C7A9199" w14:textId="2FD6D7C4" w:rsidR="006F56F5" w:rsidRDefault="006F56F5" w:rsidP="00B43D40">
      <w:pPr>
        <w:pStyle w:val="BodyText"/>
      </w:pPr>
      <w:r>
        <w:t xml:space="preserve">The events in NR described in the beginning of section 2 have one thing in common: the triggering conditions are specified in the standard. The conditions under which the UE </w:t>
      </w:r>
      <w:r w:rsidR="00C128A3">
        <w:t xml:space="preserve">shall </w:t>
      </w:r>
      <w:r>
        <w:t xml:space="preserve">initiate the transmission of a L3 </w:t>
      </w:r>
      <w:r>
        <w:lastRenderedPageBreak/>
        <w:t xml:space="preserve">measurement report or power headroom report, or to trigger radio link or beam failure, are clearly described in different specifications, either in the RRC specification, or in the MAC specification. In other words, the triggering is not up to UE implementation. </w:t>
      </w:r>
    </w:p>
    <w:p w14:paraId="55BD4526" w14:textId="1C125066" w:rsidR="00E00CD4" w:rsidRDefault="00E00CD4" w:rsidP="00E00CD4">
      <w:pPr>
        <w:pStyle w:val="Observation"/>
      </w:pPr>
      <w:bookmarkStart w:id="3" w:name="_Toc159244989"/>
      <w:r>
        <w:t xml:space="preserve">The triggering of events in NR </w:t>
      </w:r>
      <w:r w:rsidR="00124C73">
        <w:t>are specified</w:t>
      </w:r>
      <w:r w:rsidR="000F4DB4">
        <w:t>,</w:t>
      </w:r>
      <w:r w:rsidR="00124C73">
        <w:t xml:space="preserve"> i.e.</w:t>
      </w:r>
      <w:r w:rsidR="000F4DB4">
        <w:t>,</w:t>
      </w:r>
      <w:r w:rsidR="00124C73">
        <w:t xml:space="preserve"> </w:t>
      </w:r>
      <w:r>
        <w:t>not up to UE implementation.</w:t>
      </w:r>
      <w:bookmarkEnd w:id="3"/>
    </w:p>
    <w:p w14:paraId="056DBA63" w14:textId="487E3CB4" w:rsidR="00E00CD4" w:rsidRDefault="00AE4555" w:rsidP="00E00CD4">
      <w:pPr>
        <w:pStyle w:val="BodyText"/>
      </w:pPr>
      <w:r>
        <w:t>There are two main reasons to specify the events:</w:t>
      </w:r>
    </w:p>
    <w:p w14:paraId="25B46A2F" w14:textId="2C7ECCCB" w:rsidR="003F2937" w:rsidRDefault="00B54644" w:rsidP="00B54644">
      <w:pPr>
        <w:pStyle w:val="ListBullet"/>
      </w:pPr>
      <w:r>
        <w:t>The NW must be able t</w:t>
      </w:r>
      <w:r w:rsidR="00444B4D">
        <w:t>o cont</w:t>
      </w:r>
      <w:r w:rsidR="00B14A0B">
        <w:t xml:space="preserve">rol </w:t>
      </w:r>
      <w:r w:rsidR="00444B4D">
        <w:t xml:space="preserve">the UL load. </w:t>
      </w:r>
      <w:r w:rsidR="00FF3EB4">
        <w:t xml:space="preserve">If the triggering </w:t>
      </w:r>
      <w:r w:rsidR="00A01651">
        <w:t xml:space="preserve">is up to UE implementation, the NW cannot estimate how often </w:t>
      </w:r>
      <w:r w:rsidR="003362CB">
        <w:t xml:space="preserve">the report will </w:t>
      </w:r>
      <w:r w:rsidR="00FF5FB0">
        <w:t>be triggered for different types of UEs.</w:t>
      </w:r>
      <w:r w:rsidR="00FD6D15">
        <w:t xml:space="preserve"> Also, there is no way for the NW to adjust the amount of </w:t>
      </w:r>
      <w:r w:rsidR="00471B2A">
        <w:t>triggering in case</w:t>
      </w:r>
      <w:r w:rsidR="003F2937">
        <w:t xml:space="preserve"> the reporting would be excessive.</w:t>
      </w:r>
    </w:p>
    <w:p w14:paraId="5C8B7CE1" w14:textId="78FF7020" w:rsidR="003046D6" w:rsidRDefault="00FC092B" w:rsidP="00E00CD4">
      <w:pPr>
        <w:pStyle w:val="ListBullet"/>
      </w:pPr>
      <w:r>
        <w:t xml:space="preserve">An event is generally associated with a certain NW action. In other words, the NW would be designed to operate in a certain way </w:t>
      </w:r>
      <w:r w:rsidR="006D3C74">
        <w:t xml:space="preserve">when it receives an event, e.g., </w:t>
      </w:r>
      <w:r w:rsidR="00807E9B">
        <w:t xml:space="preserve">the NW would want to update the </w:t>
      </w:r>
      <w:r w:rsidR="00C1224D">
        <w:t xml:space="preserve">TCI states within a certain </w:t>
      </w:r>
      <w:proofErr w:type="gramStart"/>
      <w:r w:rsidR="00C1224D">
        <w:t>time period</w:t>
      </w:r>
      <w:proofErr w:type="gramEnd"/>
      <w:r w:rsidR="00C1224D">
        <w:t xml:space="preserve">. If the event is not specified, it becomes difficult to design </w:t>
      </w:r>
      <w:r w:rsidR="00AE4555">
        <w:t>a suitable solution based on the reception of the report.</w:t>
      </w:r>
    </w:p>
    <w:p w14:paraId="3ABF0CE4" w14:textId="31408BC6" w:rsidR="00E00CD4" w:rsidRDefault="00E00CD4" w:rsidP="00E00CD4">
      <w:pPr>
        <w:pStyle w:val="BodyText"/>
      </w:pPr>
      <w:r>
        <w:t>Based on this discussion, we propose</w:t>
      </w:r>
    </w:p>
    <w:p w14:paraId="4C9FF808" w14:textId="421E6464" w:rsidR="006F56F5" w:rsidRDefault="006F56F5" w:rsidP="006F56F5">
      <w:pPr>
        <w:pStyle w:val="Proposal"/>
      </w:pPr>
      <w:bookmarkStart w:id="4" w:name="_Toc159244997"/>
      <w:r>
        <w:t>The event</w:t>
      </w:r>
      <w:r w:rsidR="00124C73">
        <w:t>(</w:t>
      </w:r>
      <w:r>
        <w:t>s</w:t>
      </w:r>
      <w:r w:rsidR="00124C73">
        <w:t>)</w:t>
      </w:r>
      <w:r>
        <w:t xml:space="preserve"> for UE-initiated beam reporting are specified in the standard</w:t>
      </w:r>
      <w:r w:rsidR="00501823">
        <w:t>, i.e., the events are not up to UE implementation</w:t>
      </w:r>
      <w:r>
        <w:t>.</w:t>
      </w:r>
      <w:bookmarkEnd w:id="4"/>
      <w:r>
        <w:t xml:space="preserve"> </w:t>
      </w:r>
    </w:p>
    <w:p w14:paraId="18F497B6" w14:textId="3D1B3B18" w:rsidR="007E6F7C" w:rsidRDefault="000008B9" w:rsidP="00B43D40">
      <w:pPr>
        <w:pStyle w:val="BodyText"/>
      </w:pPr>
      <w:r>
        <w:t>As previously mentioned, it would seem unlikely that RAN1 can define and specify the events</w:t>
      </w:r>
      <w:r w:rsidR="007E6F7C">
        <w:t>: events should be defined and specified by RAN2.</w:t>
      </w:r>
      <w:r>
        <w:t xml:space="preserve"> However, without specified events, this functionality will be useless. </w:t>
      </w:r>
      <w:r w:rsidR="007E6F7C">
        <w:t xml:space="preserve">To facilitate efficient specification of events, RAN1 can provide a </w:t>
      </w:r>
      <w:r w:rsidR="000A07E9">
        <w:t>high-level</w:t>
      </w:r>
      <w:r w:rsidR="007E6F7C">
        <w:t xml:space="preserve"> description of a minimum set of events by the time the </w:t>
      </w:r>
      <w:r w:rsidR="00FC191F">
        <w:t xml:space="preserve">Rel-19 </w:t>
      </w:r>
      <w:r w:rsidR="007E6F7C">
        <w:t>MIMO work in RAN2 starts:</w:t>
      </w:r>
    </w:p>
    <w:p w14:paraId="7DEE8E63" w14:textId="74816E04" w:rsidR="007E6F7C" w:rsidRDefault="007E6F7C" w:rsidP="007E6F7C">
      <w:pPr>
        <w:pStyle w:val="Proposal"/>
      </w:pPr>
      <w:bookmarkStart w:id="5" w:name="_Toc159244998"/>
      <w:r>
        <w:t xml:space="preserve">RAN1 provides RAN2 with a </w:t>
      </w:r>
      <w:r w:rsidR="000A07E9">
        <w:t>high-level</w:t>
      </w:r>
      <w:r>
        <w:t xml:space="preserve"> description of a minimum set of events by RAN2#127.</w:t>
      </w:r>
      <w:bookmarkEnd w:id="5"/>
      <w:r>
        <w:t xml:space="preserve"> </w:t>
      </w:r>
    </w:p>
    <w:p w14:paraId="1D59C853" w14:textId="712D7E73" w:rsidR="007E6F7C" w:rsidRDefault="007E6F7C" w:rsidP="00B43D40">
      <w:pPr>
        <w:pStyle w:val="BodyText"/>
      </w:pPr>
      <w:r>
        <w:t>Based on this input, RAN2 can define and specify the events:</w:t>
      </w:r>
    </w:p>
    <w:p w14:paraId="5186A827" w14:textId="2BCF5B5B" w:rsidR="000008B9" w:rsidRDefault="000008B9" w:rsidP="000008B9">
      <w:pPr>
        <w:pStyle w:val="Proposal"/>
      </w:pPr>
      <w:bookmarkStart w:id="6" w:name="_Toc159244999"/>
      <w:r>
        <w:t>RAN2 specifies a minimum set of events for UE-initiated beam reporting based on high-level input from RAN1.</w:t>
      </w:r>
      <w:bookmarkEnd w:id="6"/>
      <w:r>
        <w:t xml:space="preserve"> </w:t>
      </w:r>
    </w:p>
    <w:p w14:paraId="7EFF963D" w14:textId="4B793443" w:rsidR="00200859" w:rsidRDefault="00200859" w:rsidP="00B43D40">
      <w:pPr>
        <w:pStyle w:val="BodyText"/>
      </w:pPr>
      <w:r>
        <w:t>Most likely, the events will be captured in a RAN2 specification, like all the legacy events.</w:t>
      </w:r>
    </w:p>
    <w:p w14:paraId="77C98E97" w14:textId="53D07404" w:rsidR="000E7412" w:rsidRDefault="000E7412" w:rsidP="00B43D40">
      <w:pPr>
        <w:pStyle w:val="BodyText"/>
      </w:pPr>
      <w:r>
        <w:t>The first event that comes to mind is an event where the UE determines that another beam is better than the serving beam. More precisely, this means that the measurement quality of the reference signal in the indicated</w:t>
      </w:r>
      <w:r w:rsidR="00B43D40">
        <w:t xml:space="preserve"> </w:t>
      </w:r>
      <w:r>
        <w:t>TCI state</w:t>
      </w:r>
      <w:r w:rsidR="00B43D40">
        <w:t xml:space="preserve"> </w:t>
      </w:r>
      <w:r>
        <w:t xml:space="preserve">becomes worse than the measurement quality of another reference signal. This </w:t>
      </w:r>
      <w:r w:rsidR="001D0734">
        <w:t xml:space="preserve">has some </w:t>
      </w:r>
      <w:r>
        <w:t>similar</w:t>
      </w:r>
      <w:r w:rsidR="001D0734">
        <w:t>ities</w:t>
      </w:r>
      <w:r>
        <w:t xml:space="preserve"> to the A3 event defined for L3 mobility</w:t>
      </w:r>
      <w:r w:rsidR="005E5B22">
        <w:t xml:space="preserve"> (</w:t>
      </w:r>
      <w:r w:rsidR="005E5B22" w:rsidRPr="005E5B22">
        <w:rPr>
          <w:i/>
          <w:iCs/>
        </w:rPr>
        <w:t xml:space="preserve">Neighbour becomes offset better than </w:t>
      </w:r>
      <w:proofErr w:type="spellStart"/>
      <w:r w:rsidR="005E5B22" w:rsidRPr="005E5B22">
        <w:rPr>
          <w:i/>
          <w:iCs/>
        </w:rPr>
        <w:t>SpCell</w:t>
      </w:r>
      <w:proofErr w:type="spellEnd"/>
      <w:r w:rsidR="005E5B22">
        <w:t>)</w:t>
      </w:r>
      <w:r>
        <w:t xml:space="preserve">. </w:t>
      </w:r>
      <w:r w:rsidR="00FF26E3">
        <w:t xml:space="preserve">As in A3 event, it might be possible that multiple beam(s) fulfil the triggering condition. </w:t>
      </w:r>
      <w:r>
        <w:t>Note that the measurement quality could be defined by either L1-RSRP or L1-</w:t>
      </w:r>
      <w:r w:rsidR="008917B8">
        <w:t>SINR and</w:t>
      </w:r>
      <w:r w:rsidR="001D0734">
        <w:t xml:space="preserve"> could be configurable</w:t>
      </w:r>
      <w:r>
        <w:t>.</w:t>
      </w:r>
      <w:r w:rsidR="009353FF">
        <w:t xml:space="preserve"> The relevance of such an event is to indicate to the network </w:t>
      </w:r>
      <w:r w:rsidR="0069664E">
        <w:t>a potential need for a beam switching for a serving cell</w:t>
      </w:r>
      <w:r>
        <w:t>.</w:t>
      </w:r>
    </w:p>
    <w:p w14:paraId="22CA9C00" w14:textId="4D993609" w:rsidR="00B43D40" w:rsidRDefault="000E7412" w:rsidP="00B43D40">
      <w:pPr>
        <w:pStyle w:val="BodyText"/>
      </w:pPr>
      <w:r>
        <w:t xml:space="preserve">However, other events could also be interesting: in some cases, the NW could want to keep the serving beam </w:t>
      </w:r>
      <w:proofErr w:type="gramStart"/>
      <w:r>
        <w:t>as long as</w:t>
      </w:r>
      <w:proofErr w:type="gramEnd"/>
      <w:r>
        <w:t xml:space="preserve"> it is above a certain threshold, and an interesting event would then be when the quality of the serving beam drops below a certain threshold.</w:t>
      </w:r>
      <w:r w:rsidR="007F5A0B">
        <w:t xml:space="preserve"> This would be </w:t>
      </w:r>
      <w:proofErr w:type="gramStart"/>
      <w:r w:rsidR="007F5A0B">
        <w:t>similar to</w:t>
      </w:r>
      <w:proofErr w:type="gramEnd"/>
      <w:r w:rsidR="007F5A0B">
        <w:t xml:space="preserve"> the </w:t>
      </w:r>
      <w:r w:rsidR="00C37176">
        <w:t xml:space="preserve">A2 event in </w:t>
      </w:r>
      <w:r w:rsidR="005E5B22">
        <w:t>L3 mobility (</w:t>
      </w:r>
      <w:r w:rsidR="0034471E" w:rsidRPr="0034471E">
        <w:rPr>
          <w:i/>
          <w:iCs/>
        </w:rPr>
        <w:t>Serving becomes worse than threshold</w:t>
      </w:r>
      <w:r w:rsidR="005E5B22">
        <w:t>)</w:t>
      </w:r>
      <w:r w:rsidR="0034471E">
        <w:t>.</w:t>
      </w:r>
      <w:r w:rsidR="00753091">
        <w:t xml:space="preserve"> </w:t>
      </w:r>
      <w:r w:rsidR="000008B9">
        <w:t xml:space="preserve">We realize that it would be useful to configure the UE with multiple events in parallel. Therefore, we </w:t>
      </w:r>
      <w:proofErr w:type="gramStart"/>
      <w:r w:rsidR="000008B9">
        <w:t>propose</w:t>
      </w:r>
      <w:proofErr w:type="gramEnd"/>
    </w:p>
    <w:p w14:paraId="7FEC0FD1" w14:textId="2FD3555A" w:rsidR="000008B9" w:rsidRDefault="002D7223" w:rsidP="00B43D40">
      <w:pPr>
        <w:pStyle w:val="Proposal"/>
      </w:pPr>
      <w:bookmarkStart w:id="7" w:name="_Toc159245000"/>
      <w:r>
        <w:t xml:space="preserve">It should be possible to </w:t>
      </w:r>
      <w:r w:rsidR="00C86CE0">
        <w:t>configure more than one event in parallel.</w:t>
      </w:r>
      <w:bookmarkEnd w:id="7"/>
      <w:r>
        <w:t xml:space="preserve"> </w:t>
      </w:r>
    </w:p>
    <w:p w14:paraId="1B929816" w14:textId="2529947B" w:rsidR="0034471E" w:rsidRDefault="0034471E" w:rsidP="00B43D40">
      <w:pPr>
        <w:pStyle w:val="BodyText"/>
      </w:pPr>
      <w:r>
        <w:t>When discussing events, postprocessing of the measurements</w:t>
      </w:r>
      <w:r w:rsidR="008D1575">
        <w:t xml:space="preserve"> should be considered</w:t>
      </w:r>
      <w:r>
        <w:t>: should we define additional filtering of the measurements</w:t>
      </w:r>
      <w:r w:rsidR="00753091">
        <w:t>, i.e., “L3 filtering”?</w:t>
      </w:r>
      <w:r>
        <w:t xml:space="preserve"> </w:t>
      </w:r>
      <w:r w:rsidR="00753091">
        <w:t xml:space="preserve">Should we require that the condition is fulfilled for some time before the event is triggered, e.g., “time to trigger” (TTT) or </w:t>
      </w:r>
      <w:proofErr w:type="gramStart"/>
      <w:r w:rsidR="00753091">
        <w:t>a number of</w:t>
      </w:r>
      <w:proofErr w:type="gramEnd"/>
      <w:r w:rsidR="00753091">
        <w:t xml:space="preserve"> indications? </w:t>
      </w:r>
      <w:r w:rsidR="003C51D9">
        <w:t xml:space="preserve">Such post processing would reduce the number of spurious measurement reports, by requiring that a certain condition is fulfilled for a longer </w:t>
      </w:r>
      <w:r w:rsidR="00501823">
        <w:t>period</w:t>
      </w:r>
      <w:r w:rsidR="003C51D9">
        <w:t>. Without such post processing, ping-pong beam switching may occur.</w:t>
      </w:r>
      <w:r w:rsidR="00F13591">
        <w:t xml:space="preserve"> A longer discussion of filtering is provided in section 2.4.1.</w:t>
      </w:r>
    </w:p>
    <w:p w14:paraId="3E7680EB" w14:textId="0015AFEC" w:rsidR="003C51D9" w:rsidRDefault="003C51D9" w:rsidP="003C51D9">
      <w:pPr>
        <w:pStyle w:val="BodyText"/>
      </w:pPr>
      <w:r>
        <w:t xml:space="preserve">When discussing multiple events in combination with measurement post processing, it is also important to understand that we need to support parallel events. For example, if the serving beam is </w:t>
      </w:r>
      <w:proofErr w:type="gramStart"/>
      <w:r>
        <w:t>beam</w:t>
      </w:r>
      <w:proofErr w:type="gramEnd"/>
      <w:r>
        <w:t xml:space="preserve"> A, there would be parallel events for the case where beam B becomes better than beam A and beam C becomes better than beam A.</w:t>
      </w:r>
    </w:p>
    <w:p w14:paraId="53CF1640" w14:textId="149DBCB4" w:rsidR="003C51D9" w:rsidRDefault="008D1575" w:rsidP="00B43D40">
      <w:pPr>
        <w:pStyle w:val="BodyText"/>
      </w:pPr>
      <w:r>
        <w:t xml:space="preserve">Furthermore, it is relevant </w:t>
      </w:r>
      <w:r w:rsidR="003C51D9">
        <w:t xml:space="preserve">to consider if the UE should </w:t>
      </w:r>
      <w:r>
        <w:t>report</w:t>
      </w:r>
      <w:r w:rsidR="003C51D9">
        <w:t xml:space="preserve"> once, or if the </w:t>
      </w:r>
      <w:r>
        <w:t>reporting</w:t>
      </w:r>
      <w:r w:rsidR="003C51D9">
        <w:t xml:space="preserve"> should continue </w:t>
      </w:r>
      <w:proofErr w:type="gramStart"/>
      <w:r w:rsidR="003C51D9">
        <w:t>as long as</w:t>
      </w:r>
      <w:proofErr w:type="gramEnd"/>
      <w:r w:rsidR="003C51D9">
        <w:t xml:space="preserve"> the condition is fulfilled, or something in-between. </w:t>
      </w:r>
      <w:r w:rsidR="006567BB">
        <w:t xml:space="preserve">For L3 mobility, the event is triggered once, whereas for BFR, the event is triggered </w:t>
      </w:r>
      <w:proofErr w:type="gramStart"/>
      <w:r w:rsidR="006567BB">
        <w:t>as long as</w:t>
      </w:r>
      <w:proofErr w:type="gramEnd"/>
      <w:r w:rsidR="006567BB">
        <w:t xml:space="preserve"> the condition is fulfilled. For power headroom reporting, </w:t>
      </w:r>
      <w:r w:rsidR="00415A0D">
        <w:t xml:space="preserve">an intermediate solution is </w:t>
      </w:r>
      <w:proofErr w:type="gramStart"/>
      <w:r w:rsidR="00415A0D">
        <w:t>chosen:</w:t>
      </w:r>
      <w:proofErr w:type="gramEnd"/>
      <w:r w:rsidR="00415A0D">
        <w:t xml:space="preserve"> when the condition is fulfilled, the event is triggered, and at the same time, a timer is started. The UE evaluates the condition again when that timer expires. These </w:t>
      </w:r>
      <w:r w:rsidR="0067371E">
        <w:t>solutions represent different trade-offs between reporting speed and overhead.</w:t>
      </w:r>
      <w:r w:rsidR="00F13591">
        <w:t xml:space="preserve"> </w:t>
      </w:r>
    </w:p>
    <w:p w14:paraId="4314D636" w14:textId="517B17C3" w:rsidR="00F13591" w:rsidRPr="00B43D40" w:rsidRDefault="00F13591" w:rsidP="00B43D40">
      <w:pPr>
        <w:pStyle w:val="BodyText"/>
      </w:pPr>
      <w:r>
        <w:t>Based on this discussion, we propose</w:t>
      </w:r>
    </w:p>
    <w:p w14:paraId="10C3C032" w14:textId="061A6570" w:rsidR="00BF2500" w:rsidRDefault="00BF2500" w:rsidP="00B43D40">
      <w:pPr>
        <w:pStyle w:val="Proposal"/>
      </w:pPr>
      <w:bookmarkStart w:id="8" w:name="_Toc159245001"/>
      <w:r>
        <w:lastRenderedPageBreak/>
        <w:t xml:space="preserve">RAN1 studies </w:t>
      </w:r>
      <w:r w:rsidR="007F71C2">
        <w:t>postprocessing of measurements used for events, and ways to control the amount of event triggering.</w:t>
      </w:r>
      <w:bookmarkEnd w:id="8"/>
    </w:p>
    <w:p w14:paraId="1B60AD1D" w14:textId="12E28816" w:rsidR="00F35AE9" w:rsidRDefault="00F35AE9" w:rsidP="00F35AE9">
      <w:pPr>
        <w:pStyle w:val="Heading2"/>
      </w:pPr>
      <w:r>
        <w:t>2.2</w:t>
      </w:r>
      <w:r>
        <w:tab/>
      </w:r>
      <w:r w:rsidR="00F33B52">
        <w:t xml:space="preserve">Requesting </w:t>
      </w:r>
      <w:r w:rsidR="002C19A0">
        <w:t xml:space="preserve">UL </w:t>
      </w:r>
      <w:r w:rsidR="00F33B52">
        <w:t>resource</w:t>
      </w:r>
      <w:r w:rsidR="002C19A0">
        <w:t>s</w:t>
      </w:r>
      <w:r w:rsidR="00F33B52">
        <w:t xml:space="preserve"> for transmission of the </w:t>
      </w:r>
      <w:proofErr w:type="gramStart"/>
      <w:r w:rsidR="00F33B52">
        <w:t>report</w:t>
      </w:r>
      <w:proofErr w:type="gramEnd"/>
    </w:p>
    <w:p w14:paraId="6C6C11CD" w14:textId="78E16E95" w:rsidR="003240B0" w:rsidRDefault="006C3CAD" w:rsidP="006C3CAD">
      <w:pPr>
        <w:pStyle w:val="BodyText"/>
      </w:pPr>
      <w:r>
        <w:t>Even if the beam reporting is UE-initiated, the control of the UL resources lies with the NW: it is the NW that grants the UL resources used for transmission of the measurement report. There are essentially three</w:t>
      </w:r>
      <w:r w:rsidR="003240B0">
        <w:t xml:space="preserve"> types of UL resources for transmission of CSI, each associated with a certain way to allocate resources:</w:t>
      </w:r>
    </w:p>
    <w:p w14:paraId="23C5458C" w14:textId="3CFFD1F5" w:rsidR="003240B0" w:rsidRDefault="003240B0" w:rsidP="003240B0">
      <w:pPr>
        <w:pStyle w:val="BodyText"/>
        <w:numPr>
          <w:ilvl w:val="0"/>
          <w:numId w:val="31"/>
        </w:numPr>
      </w:pPr>
      <w:r>
        <w:t>Periodic UL resources: these are configured using RRC and contains (periodic) PUCCH</w:t>
      </w:r>
      <w:r w:rsidR="00B264A8">
        <w:t xml:space="preserve"> </w:t>
      </w:r>
      <w:r w:rsidR="00F13591">
        <w:t>or</w:t>
      </w:r>
      <w:r>
        <w:t xml:space="preserve"> configured grant Type I PUSCH.</w:t>
      </w:r>
    </w:p>
    <w:p w14:paraId="598B7854" w14:textId="1180A9D0" w:rsidR="003240B0" w:rsidRDefault="003240B0" w:rsidP="003240B0">
      <w:pPr>
        <w:pStyle w:val="BodyText"/>
        <w:numPr>
          <w:ilvl w:val="0"/>
          <w:numId w:val="31"/>
        </w:numPr>
      </w:pPr>
      <w:r>
        <w:t>Semi-persistent UL resources: these are configured using RRC and activated using MAC CE or DCI. Semi-persistent reporting of CSI over PUCCH or PUSCH is the prime example of this mechanism.</w:t>
      </w:r>
    </w:p>
    <w:p w14:paraId="417E0A5F" w14:textId="594BABD7" w:rsidR="00F35AE9" w:rsidRDefault="003240B0" w:rsidP="003240B0">
      <w:pPr>
        <w:pStyle w:val="BodyText"/>
        <w:numPr>
          <w:ilvl w:val="0"/>
          <w:numId w:val="31"/>
        </w:numPr>
      </w:pPr>
      <w:r>
        <w:t xml:space="preserve">Dynamic UL resources: these are allocated to the UE in DCI. This is only possible for PUSCH today. </w:t>
      </w:r>
    </w:p>
    <w:p w14:paraId="006EA7AB" w14:textId="46550A5F" w:rsidR="00B264A8" w:rsidRDefault="00B264A8" w:rsidP="00B264A8">
      <w:pPr>
        <w:pStyle w:val="BodyText"/>
      </w:pPr>
      <w:r>
        <w:t>To send a report after an event has occurred, the UE would need UL resources. Since the main objective of this objective is to reduce signalling overhead, reserving resources for UL transmission statically or semi-statically is counterproductive. Aiming to share such a static or semi-static resource in a contention-based manner is not a realistic option, at least without significant changes to the retransmission protocols. Hence, relying on dynamic allocation of UL resources is the solid solution:</w:t>
      </w:r>
    </w:p>
    <w:p w14:paraId="5467625D" w14:textId="7030ABBB" w:rsidR="00B264A8" w:rsidRDefault="00B264A8" w:rsidP="00893A91">
      <w:pPr>
        <w:pStyle w:val="Proposal"/>
      </w:pPr>
      <w:r>
        <w:t xml:space="preserve"> </w:t>
      </w:r>
      <w:bookmarkStart w:id="9" w:name="_Toc159245002"/>
      <w:r w:rsidR="00893A91">
        <w:t>The NW provides UL resources for the UE-initiated report dynamically.</w:t>
      </w:r>
      <w:bookmarkEnd w:id="9"/>
    </w:p>
    <w:p w14:paraId="27D9F255" w14:textId="38CE72F5" w:rsidR="00893A91" w:rsidRDefault="00893A91" w:rsidP="00893A91">
      <w:pPr>
        <w:pStyle w:val="BodyText"/>
      </w:pPr>
      <w:r>
        <w:t xml:space="preserve">This would require that the UE only sends a request for UL resources using, e.g., scheduling request </w:t>
      </w:r>
      <w:r w:rsidR="00B85BFB">
        <w:t xml:space="preserve">(SR) </w:t>
      </w:r>
      <w:r>
        <w:t>or PRACH:</w:t>
      </w:r>
    </w:p>
    <w:p w14:paraId="52C53E15" w14:textId="3253868C" w:rsidR="00893A91" w:rsidRDefault="00893A91" w:rsidP="00893A91">
      <w:pPr>
        <w:pStyle w:val="Proposal"/>
      </w:pPr>
      <w:bookmarkStart w:id="10" w:name="_Toc159245003"/>
      <w:r>
        <w:t>The UE requests UL resources for the transmission of the UE-initiated report using legacy mechanisms.</w:t>
      </w:r>
      <w:bookmarkEnd w:id="10"/>
    </w:p>
    <w:p w14:paraId="529DE337" w14:textId="39FFEC65" w:rsidR="00D02850" w:rsidRDefault="00D02850" w:rsidP="00D02850">
      <w:pPr>
        <w:pStyle w:val="BodyText"/>
      </w:pPr>
      <w:r>
        <w:t xml:space="preserve">Note that for </w:t>
      </w:r>
      <w:r w:rsidR="00364AAC">
        <w:t>reports that are carried by MAC CE</w:t>
      </w:r>
      <w:r>
        <w:t xml:space="preserve"> formats, the UE can use available </w:t>
      </w:r>
      <w:r w:rsidR="00DC4ECF">
        <w:t xml:space="preserve">PUSCH </w:t>
      </w:r>
      <w:r>
        <w:t xml:space="preserve">resources to transmit the report, without </w:t>
      </w:r>
      <w:r w:rsidR="00DC4ECF">
        <w:t>requesting UL resources:</w:t>
      </w:r>
    </w:p>
    <w:p w14:paraId="1A289839" w14:textId="7611C7AD" w:rsidR="00DC4ECF" w:rsidRDefault="00DC4ECF" w:rsidP="00DC4ECF">
      <w:pPr>
        <w:pStyle w:val="Observation"/>
      </w:pPr>
      <w:bookmarkStart w:id="11" w:name="_Toc159244990"/>
      <w:r>
        <w:t>For report</w:t>
      </w:r>
      <w:r w:rsidR="00364AAC">
        <w:t>s that are carried by MAC CE</w:t>
      </w:r>
      <w:r>
        <w:t>, the UE can send the report directly using available resources.</w:t>
      </w:r>
      <w:bookmarkEnd w:id="11"/>
    </w:p>
    <w:p w14:paraId="04549A5C" w14:textId="27E776D5" w:rsidR="009C4CC3" w:rsidRDefault="009C4CC3" w:rsidP="009C4CC3">
      <w:pPr>
        <w:pStyle w:val="Heading2"/>
      </w:pPr>
      <w:r>
        <w:t>2.</w:t>
      </w:r>
      <w:r w:rsidR="00F33B52">
        <w:t>3</w:t>
      </w:r>
      <w:r>
        <w:tab/>
        <w:t>Reporting</w:t>
      </w:r>
    </w:p>
    <w:p w14:paraId="20A9E456" w14:textId="51BE6BB0" w:rsidR="00DC4ECF" w:rsidRDefault="00DC4ECF" w:rsidP="00DC4ECF">
      <w:pPr>
        <w:pStyle w:val="BodyText"/>
      </w:pPr>
      <w:r>
        <w:t xml:space="preserve">The main part of the </w:t>
      </w:r>
      <w:r w:rsidR="00381F41">
        <w:t xml:space="preserve">objective discusses the report format and content. </w:t>
      </w:r>
      <w:r w:rsidR="008E4888">
        <w:t xml:space="preserve">Since the report content is used by the </w:t>
      </w:r>
      <w:r w:rsidR="00BE1EE5">
        <w:t>gNB-</w:t>
      </w:r>
      <w:r w:rsidR="008E4888">
        <w:t xml:space="preserve">DU, RRC is not </w:t>
      </w:r>
      <w:r w:rsidR="00661386">
        <w:t xml:space="preserve">really an option, since RRC terminates in the </w:t>
      </w:r>
      <w:r w:rsidR="00BE1EE5">
        <w:t>gNB-</w:t>
      </w:r>
      <w:r w:rsidR="00661386">
        <w:t>CU</w:t>
      </w:r>
      <w:r w:rsidR="00BE1EE5">
        <w:t xml:space="preserve"> </w:t>
      </w:r>
      <w:r w:rsidR="00BE1EE5">
        <w:fldChar w:fldCharType="begin"/>
      </w:r>
      <w:r w:rsidR="00BE1EE5">
        <w:instrText xml:space="preserve"> REF _Ref158971261 \r \h </w:instrText>
      </w:r>
      <w:r w:rsidR="00BE1EE5">
        <w:fldChar w:fldCharType="separate"/>
      </w:r>
      <w:r w:rsidR="00814C04">
        <w:t>[4]</w:t>
      </w:r>
      <w:r w:rsidR="00BE1EE5">
        <w:fldChar w:fldCharType="end"/>
      </w:r>
      <w:r w:rsidR="00661386">
        <w:t xml:space="preserve">. </w:t>
      </w:r>
    </w:p>
    <w:p w14:paraId="0531C78E" w14:textId="2342C76A" w:rsidR="00661386" w:rsidRDefault="00661386" w:rsidP="00DC4ECF">
      <w:pPr>
        <w:pStyle w:val="BodyText"/>
      </w:pPr>
      <w:r>
        <w:t xml:space="preserve">The only relevant options to </w:t>
      </w:r>
      <w:r w:rsidR="00A878CC">
        <w:t>transfer the UE-initiated report are then MAC CE and UCI. We will describe the properties of these two solutions below.</w:t>
      </w:r>
      <w:r w:rsidR="004321CD">
        <w:t xml:space="preserve"> However, we would first describe some general properties of the report content: the required report content should be the same, irrespective of the report container.</w:t>
      </w:r>
    </w:p>
    <w:p w14:paraId="49B29255" w14:textId="187D63F6" w:rsidR="00BD624B" w:rsidRDefault="00BD624B" w:rsidP="00DC4ECF">
      <w:pPr>
        <w:pStyle w:val="BodyText"/>
      </w:pPr>
      <w:r>
        <w:t>The current beam report</w:t>
      </w:r>
      <w:r w:rsidR="00303C6E">
        <w:t xml:space="preserve"> is a</w:t>
      </w:r>
      <w:r>
        <w:t xml:space="preserve"> natural starting</w:t>
      </w:r>
      <w:r w:rsidR="00303C6E">
        <w:t xml:space="preserve"> point for the discussion. Including a number or L1-RSRP or L1-SINR values in the report seems reasonable. Using differential encoding seems reasonable as well, although the </w:t>
      </w:r>
      <w:r w:rsidR="00C66EFC">
        <w:t>difference in payload becomes small.</w:t>
      </w:r>
    </w:p>
    <w:p w14:paraId="0D95500A" w14:textId="7FE511C0" w:rsidR="00A6215F" w:rsidRDefault="00531C9B" w:rsidP="00DC4ECF">
      <w:pPr>
        <w:pStyle w:val="BodyText"/>
      </w:pPr>
      <w:r>
        <w:t>There are two related issues with the legacy beam report:</w:t>
      </w:r>
    </w:p>
    <w:p w14:paraId="53385D6B" w14:textId="2C50176B" w:rsidR="00B00C61" w:rsidRDefault="00A174FC" w:rsidP="00531C9B">
      <w:pPr>
        <w:pStyle w:val="ListBullet"/>
      </w:pPr>
      <w:r>
        <w:t>T</w:t>
      </w:r>
      <w:r w:rsidR="00531C9B">
        <w:t xml:space="preserve">he selection of beams to include in the report is up to UE implementation. With a standardized event, the most important information to include in the measurement report is </w:t>
      </w:r>
      <w:r w:rsidR="00B00C61">
        <w:t xml:space="preserve">which beam triggered the event. </w:t>
      </w:r>
      <w:r w:rsidR="00F13591">
        <w:t xml:space="preserve">The content of the report cannot be left to UE implementation, the </w:t>
      </w:r>
      <w:r w:rsidR="00B54807">
        <w:t>triggering beam must be included, and identified.</w:t>
      </w:r>
    </w:p>
    <w:p w14:paraId="386024A0" w14:textId="7C43131C" w:rsidR="00531C9B" w:rsidRDefault="003E37B6" w:rsidP="00531C9B">
      <w:pPr>
        <w:pStyle w:val="ListBullet"/>
      </w:pPr>
      <w:r>
        <w:t xml:space="preserve">It is likely that the event will be based on post-processed measurements, see </w:t>
      </w:r>
      <w:r w:rsidRPr="005F18F8">
        <w:t>section 2.</w:t>
      </w:r>
      <w:r w:rsidR="00D027FB" w:rsidRPr="005F18F8">
        <w:t>4</w:t>
      </w:r>
      <w:r w:rsidRPr="005F18F8">
        <w:t>.1</w:t>
      </w:r>
      <w:r>
        <w:t xml:space="preserve">. This means that the legacy un-processed measurements do not convey the information about what triggered the event.  </w:t>
      </w:r>
      <w:r w:rsidR="00B36236">
        <w:t xml:space="preserve"> </w:t>
      </w:r>
      <w:r w:rsidR="00A174FC">
        <w:t xml:space="preserve"> </w:t>
      </w:r>
      <w:r w:rsidR="00531C9B">
        <w:t xml:space="preserve"> </w:t>
      </w:r>
    </w:p>
    <w:p w14:paraId="558D7239" w14:textId="29101D0C" w:rsidR="006F0E3F" w:rsidRPr="00801488" w:rsidRDefault="006F0E3F" w:rsidP="00DC4ECF">
      <w:pPr>
        <w:pStyle w:val="BodyText"/>
      </w:pPr>
      <w:r w:rsidRPr="00801488">
        <w:t>Based on this discussion, we propose</w:t>
      </w:r>
    </w:p>
    <w:p w14:paraId="34608F99" w14:textId="7B2BBF89" w:rsidR="006F0E3F" w:rsidRDefault="00B51911" w:rsidP="006F0E3F">
      <w:pPr>
        <w:pStyle w:val="Proposal"/>
      </w:pPr>
      <w:bookmarkStart w:id="12" w:name="_Toc159245004"/>
      <w:r>
        <w:t xml:space="preserve">The legacy beam report content, complemented by information about the </w:t>
      </w:r>
      <w:r w:rsidR="00801488">
        <w:t>triggering event</w:t>
      </w:r>
      <w:r w:rsidR="001A18E5">
        <w:t xml:space="preserve">, is the starting point for the </w:t>
      </w:r>
      <w:r w:rsidR="00801488">
        <w:t>report content.</w:t>
      </w:r>
      <w:bookmarkEnd w:id="12"/>
    </w:p>
    <w:p w14:paraId="083F1B2F" w14:textId="44BE4B37" w:rsidR="00E71D92" w:rsidRDefault="00E71D92" w:rsidP="00E71D92">
      <w:pPr>
        <w:pStyle w:val="Heading3"/>
      </w:pPr>
      <w:r>
        <w:lastRenderedPageBreak/>
        <w:t>2.</w:t>
      </w:r>
      <w:r w:rsidR="004321CD">
        <w:t>3</w:t>
      </w:r>
      <w:r>
        <w:t>.1</w:t>
      </w:r>
      <w:r>
        <w:tab/>
        <w:t>MAC</w:t>
      </w:r>
    </w:p>
    <w:p w14:paraId="2BFF97E2" w14:textId="77777777" w:rsidR="006E2ADF" w:rsidRDefault="00A878CC" w:rsidP="00A878CC">
      <w:pPr>
        <w:pStyle w:val="BodyText"/>
      </w:pPr>
      <w:r>
        <w:t>Since MAC CEs are sent in</w:t>
      </w:r>
      <w:r w:rsidR="006E2ADF">
        <w:t xml:space="preserve">side a transport block, they are automatically protected by HARQ retransmissions. The requirement on reliability discussed in </w:t>
      </w:r>
      <w:r w:rsidR="006E2ADF" w:rsidRPr="00DE6148">
        <w:t>section 2.1</w:t>
      </w:r>
      <w:r w:rsidR="006E2ADF">
        <w:t xml:space="preserve"> is then automatically fulfilled. We can then follow the paradigm from L3 mobility to only trigger once: the HARQ retransmissions ensure that the report reaches the network:</w:t>
      </w:r>
    </w:p>
    <w:p w14:paraId="3930FA3A" w14:textId="77777777" w:rsidR="006E2ADF" w:rsidRDefault="006E2ADF" w:rsidP="006E2ADF">
      <w:pPr>
        <w:pStyle w:val="Observation"/>
      </w:pPr>
      <w:bookmarkStart w:id="13" w:name="_Toc159244991"/>
      <w:r>
        <w:t>If the UE-initiated report is carried by MAC CE, a single triggering occasion is enough and the HARQ retransmissions ensure that the report reaches the NW.</w:t>
      </w:r>
      <w:bookmarkEnd w:id="13"/>
    </w:p>
    <w:p w14:paraId="14DF4960" w14:textId="76460E43" w:rsidR="00A878CC" w:rsidRDefault="006E2ADF" w:rsidP="006E2ADF">
      <w:pPr>
        <w:pStyle w:val="BodyText"/>
      </w:pPr>
      <w:r>
        <w:t>Not only does HARQ solve the problem, but it also solves it in an extremely efficient way.</w:t>
      </w:r>
    </w:p>
    <w:p w14:paraId="4137D4A7" w14:textId="1F6BF0D4" w:rsidR="006E2ADF" w:rsidRDefault="006E2ADF" w:rsidP="006E2ADF">
      <w:pPr>
        <w:pStyle w:val="BodyText"/>
      </w:pPr>
      <w:r>
        <w:t xml:space="preserve">To request the UL resources to transmit the </w:t>
      </w:r>
      <w:r w:rsidR="00003F86">
        <w:t xml:space="preserve">report, a special scheduling request (SR) could be introduced, like the SR introduced for SCell BFR. However, this is not </w:t>
      </w:r>
      <w:r w:rsidR="00F52C95">
        <w:t>necessary since</w:t>
      </w:r>
      <w:r w:rsidR="00003F86">
        <w:t xml:space="preserve"> the normal SR can be used</w:t>
      </w:r>
      <w:r w:rsidR="00D7067B">
        <w:t xml:space="preserve">. This was realized also for SCell BFR, where the special SR is an optional UE capability, which indicates that it is not a central part of the solution. </w:t>
      </w:r>
      <w:r w:rsidR="00E1187C">
        <w:t>Based on the reception of the SR, the NW can send a grant of suitable size to the UE</w:t>
      </w:r>
      <w:r w:rsidR="00322AEB">
        <w:t xml:space="preserve">. Note that </w:t>
      </w:r>
      <w:r w:rsidR="006E2630">
        <w:t xml:space="preserve">initial </w:t>
      </w:r>
      <w:r w:rsidR="00984A01">
        <w:t xml:space="preserve">UL </w:t>
      </w:r>
      <w:r w:rsidR="006E2630">
        <w:t xml:space="preserve">grants are typically </w:t>
      </w:r>
      <w:r w:rsidR="0023329A">
        <w:t xml:space="preserve">set </w:t>
      </w:r>
      <w:r w:rsidR="006E2630">
        <w:t>large enough to fit</w:t>
      </w:r>
      <w:r w:rsidR="00823508">
        <w:t xml:space="preserve"> </w:t>
      </w:r>
      <w:r w:rsidR="00984A01">
        <w:t>a TCP ACK</w:t>
      </w:r>
      <w:r w:rsidR="0023329A">
        <w:t xml:space="preserve">: </w:t>
      </w:r>
      <w:r w:rsidR="00D840FE">
        <w:t>selecting something smaller</w:t>
      </w:r>
      <w:r w:rsidR="00823508">
        <w:t xml:space="preserve"> hurts performance. </w:t>
      </w:r>
    </w:p>
    <w:p w14:paraId="54C55E6D" w14:textId="77777777" w:rsidR="00EF5C26" w:rsidRDefault="00DB1A7B" w:rsidP="006E2ADF">
      <w:pPr>
        <w:pStyle w:val="BodyText"/>
      </w:pPr>
      <w:r>
        <w:t xml:space="preserve">It is straightforward to </w:t>
      </w:r>
      <w:r w:rsidR="00EF5C26">
        <w:t xml:space="preserve">define different MAC CEs for different events. Either different MAC CEs are introduced for different events, or the information about which event was triggered is included as part of the MAC CE payload. Hence it is easy to fulfil the requirement on flexibility discussed </w:t>
      </w:r>
      <w:r w:rsidR="00EF5C26" w:rsidRPr="00DE6148">
        <w:t>in section 2.1:</w:t>
      </w:r>
    </w:p>
    <w:p w14:paraId="350C7CDC" w14:textId="550C4372" w:rsidR="00EF5C26" w:rsidRDefault="00572719" w:rsidP="00EF5C26">
      <w:pPr>
        <w:pStyle w:val="Observation"/>
      </w:pPr>
      <w:bookmarkStart w:id="14" w:name="_Toc159244992"/>
      <w:r>
        <w:t>MAC CE provides flexibility on the support of multiple events out of the box</w:t>
      </w:r>
      <w:r w:rsidR="00EF5C26">
        <w:t>.</w:t>
      </w:r>
      <w:bookmarkEnd w:id="14"/>
    </w:p>
    <w:p w14:paraId="3B846F60" w14:textId="7F6DFDE5" w:rsidR="00572719" w:rsidRPr="00DE6148" w:rsidRDefault="00572719" w:rsidP="00572719">
      <w:pPr>
        <w:pStyle w:val="BodyText"/>
      </w:pPr>
      <w:r>
        <w:t>The MAC CEs can have varying lengths. For this purpose</w:t>
      </w:r>
      <w:r w:rsidRPr="00DE6148">
        <w:t xml:space="preserve">, some MAC CEs contain a length field, which indicates </w:t>
      </w:r>
      <w:r w:rsidR="00EF6D93" w:rsidRPr="00DE6148">
        <w:t>how long the MAC CE is. Thus, there is a mechanism in MAC CE which handles varying payload sizes, which fulfils the requirement on flexible report content discussed in section 2.1:</w:t>
      </w:r>
    </w:p>
    <w:p w14:paraId="2AA52D6E" w14:textId="3B2545EA" w:rsidR="00EF6D93" w:rsidRPr="00DE6148" w:rsidRDefault="00EF6D93" w:rsidP="00EF6D93">
      <w:pPr>
        <w:pStyle w:val="Observation"/>
      </w:pPr>
      <w:bookmarkStart w:id="15" w:name="_Toc159244993"/>
      <w:r w:rsidRPr="00DE6148">
        <w:t>MAC CE provides flexibility on the report content.</w:t>
      </w:r>
      <w:bookmarkEnd w:id="15"/>
    </w:p>
    <w:p w14:paraId="7C059472" w14:textId="247FA20E" w:rsidR="00B40FEB" w:rsidRDefault="00937C85" w:rsidP="00572719">
      <w:pPr>
        <w:pStyle w:val="BodyText"/>
      </w:pPr>
      <w:r w:rsidRPr="00DE6148">
        <w:t>Since a MAC CE is self-contained (the headers indicate the content of the MAC CE), it can</w:t>
      </w:r>
      <w:r>
        <w:t xml:space="preserve"> be sent in any available UL resource. For example, if the UE has an ongoing UL transmissio</w:t>
      </w:r>
      <w:r w:rsidR="00420714">
        <w:t xml:space="preserve">n, for which it is provided </w:t>
      </w:r>
      <w:r w:rsidR="00FD597D">
        <w:t xml:space="preserve">an </w:t>
      </w:r>
      <w:r w:rsidR="00420714">
        <w:t>UL grant, the UE can simply include a MAC CE</w:t>
      </w:r>
      <w:r w:rsidR="00FD597D">
        <w:t xml:space="preserve"> in any PUSCH transmission</w:t>
      </w:r>
      <w:r w:rsidR="00420714">
        <w:t>. Also, if the NW has provided the UE with a configured grant with sufficient size, the UE can directly transmit the MAC CE.</w:t>
      </w:r>
      <w:r w:rsidR="00501823">
        <w:t xml:space="preserve"> </w:t>
      </w:r>
      <w:r w:rsidR="003C1B26">
        <w:t xml:space="preserve">The steps to perform beam reporting over MAC CE are depicted in </w:t>
      </w:r>
      <w:r w:rsidR="00B40FEB">
        <w:fldChar w:fldCharType="begin"/>
      </w:r>
      <w:r w:rsidR="00B40FEB">
        <w:instrText xml:space="preserve"> REF _Ref158973809 \h </w:instrText>
      </w:r>
      <w:r w:rsidR="00B40FEB">
        <w:fldChar w:fldCharType="separate"/>
      </w:r>
      <w:r w:rsidR="00814C04">
        <w:t xml:space="preserve">Figure </w:t>
      </w:r>
      <w:r w:rsidR="00814C04">
        <w:rPr>
          <w:noProof/>
        </w:rPr>
        <w:t>1</w:t>
      </w:r>
      <w:r w:rsidR="00B40FEB">
        <w:fldChar w:fldCharType="end"/>
      </w:r>
      <w:r w:rsidR="00B40FEB">
        <w:t>.</w:t>
      </w:r>
    </w:p>
    <w:p w14:paraId="6934F5F0" w14:textId="441EC8E1" w:rsidR="003C1B26" w:rsidRDefault="00B40FEB" w:rsidP="00B40FEB">
      <w:pPr>
        <w:pStyle w:val="TH"/>
      </w:pPr>
      <w:r w:rsidRPr="00B40FEB">
        <w:rPr>
          <w:noProof/>
        </w:rPr>
        <w:drawing>
          <wp:inline distT="0" distB="0" distL="0" distR="0" wp14:anchorId="7237BA5E" wp14:editId="40956286">
            <wp:extent cx="4254638" cy="3651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5523" cy="3669173"/>
                    </a:xfrm>
                    <a:prstGeom prst="rect">
                      <a:avLst/>
                    </a:prstGeom>
                    <a:noFill/>
                    <a:ln>
                      <a:noFill/>
                    </a:ln>
                  </pic:spPr>
                </pic:pic>
              </a:graphicData>
            </a:graphic>
          </wp:inline>
        </w:drawing>
      </w:r>
    </w:p>
    <w:p w14:paraId="57149C3B" w14:textId="6EE65B3F" w:rsidR="003C1B26" w:rsidRDefault="003C1B26" w:rsidP="003C1B26">
      <w:pPr>
        <w:pStyle w:val="TF"/>
      </w:pPr>
      <w:bookmarkStart w:id="16" w:name="_Ref158973809"/>
      <w:r>
        <w:t xml:space="preserve">Figure </w:t>
      </w:r>
      <w:r w:rsidR="00814C04">
        <w:fldChar w:fldCharType="begin"/>
      </w:r>
      <w:r w:rsidR="00814C04">
        <w:instrText xml:space="preserve"> SEQ Figure \* ARABIC </w:instrText>
      </w:r>
      <w:r w:rsidR="00814C04">
        <w:fldChar w:fldCharType="separate"/>
      </w:r>
      <w:r w:rsidR="00814C04">
        <w:rPr>
          <w:noProof/>
        </w:rPr>
        <w:t>1</w:t>
      </w:r>
      <w:r w:rsidR="00814C04">
        <w:rPr>
          <w:noProof/>
        </w:rPr>
        <w:fldChar w:fldCharType="end"/>
      </w:r>
      <w:bookmarkEnd w:id="16"/>
      <w:r>
        <w:t>: Reporting over MAC CE. In the left picture, the UE does not have any UL grant, and in the right figure, the UE has an UL grant.</w:t>
      </w:r>
    </w:p>
    <w:p w14:paraId="297D00C2" w14:textId="73FE0FC3" w:rsidR="00E678E8" w:rsidRPr="00A878CC" w:rsidRDefault="00541B1F" w:rsidP="006E2ADF">
      <w:pPr>
        <w:pStyle w:val="BodyText"/>
      </w:pPr>
      <w:r>
        <w:lastRenderedPageBreak/>
        <w:t>In NR today, there are a</w:t>
      </w:r>
      <w:r w:rsidR="00181193">
        <w:t xml:space="preserve"> few</w:t>
      </w:r>
      <w:r>
        <w:t xml:space="preserve"> measurement reports that are transmitted using MAC CE: </w:t>
      </w:r>
    </w:p>
    <w:p w14:paraId="5AAA41EB" w14:textId="660C26E2" w:rsidR="00181193" w:rsidRDefault="006E1387" w:rsidP="00181193">
      <w:pPr>
        <w:pStyle w:val="ListBullet"/>
      </w:pPr>
      <w:r>
        <w:t>The BF</w:t>
      </w:r>
      <w:r w:rsidR="00EB5C5B">
        <w:t xml:space="preserve">R </w:t>
      </w:r>
      <w:r w:rsidR="00A62173">
        <w:t xml:space="preserve">MAC CEs, and the enhanced BFR MAC CEs. These are used </w:t>
      </w:r>
      <w:r w:rsidR="00190523">
        <w:t xml:space="preserve">in conjunction with the SCell BFR and mTRP </w:t>
      </w:r>
      <w:r w:rsidR="00036793">
        <w:t>BFR and</w:t>
      </w:r>
      <w:r w:rsidR="00190523">
        <w:t xml:space="preserve"> include information about candidate beams/RSs.</w:t>
      </w:r>
    </w:p>
    <w:p w14:paraId="50AFB88D" w14:textId="7E07502B" w:rsidR="00181193" w:rsidRDefault="00190523" w:rsidP="00181193">
      <w:pPr>
        <w:pStyle w:val="ListBullet"/>
      </w:pPr>
      <w:r>
        <w:t xml:space="preserve">The </w:t>
      </w:r>
      <w:r w:rsidR="00F72D6A">
        <w:t xml:space="preserve">enhanced </w:t>
      </w:r>
      <w:r w:rsidR="00036793">
        <w:t>power headroom reports</w:t>
      </w:r>
      <w:r w:rsidR="008068DE">
        <w:t xml:space="preserve"> MAC CEs</w:t>
      </w:r>
      <w:r w:rsidR="00181193">
        <w:t>.</w:t>
      </w:r>
      <w:r w:rsidR="00036793">
        <w:t xml:space="preserve"> These are used to recommend beams to the NW that are not impacted by MPE.</w:t>
      </w:r>
      <w:r w:rsidR="00181193">
        <w:t xml:space="preserve">     </w:t>
      </w:r>
    </w:p>
    <w:p w14:paraId="181FDE66" w14:textId="4BDC1BCF" w:rsidR="00036793" w:rsidRDefault="00BC35B7" w:rsidP="00181193">
      <w:pPr>
        <w:pStyle w:val="ListBullet"/>
      </w:pPr>
      <w:r w:rsidRPr="00BC35B7">
        <w:t>IAB-MT Recommended Beam Indication MAC CE</w:t>
      </w:r>
      <w:r>
        <w:t xml:space="preserve">. </w:t>
      </w:r>
      <w:r w:rsidR="00E41464" w:rsidRPr="00E41464">
        <w:t>This MAC CE is used to enable simultaneous operation (transmission/reception) of IAB-MT and IAB-DU</w:t>
      </w:r>
    </w:p>
    <w:p w14:paraId="22B38808" w14:textId="77777777" w:rsidR="00FD597D" w:rsidRDefault="004E23B3" w:rsidP="002835BE">
      <w:pPr>
        <w:pStyle w:val="BodyText"/>
      </w:pPr>
      <w:r>
        <w:t xml:space="preserve">It is interesting to note that </w:t>
      </w:r>
      <w:r w:rsidR="00FD597D">
        <w:t>all</w:t>
      </w:r>
      <w:r>
        <w:t xml:space="preserve"> these reports are </w:t>
      </w:r>
      <w:r w:rsidR="002835BE">
        <w:t xml:space="preserve">event-driven: their transmission is initiated when a condition is fulfilled. </w:t>
      </w:r>
    </w:p>
    <w:p w14:paraId="6228430E" w14:textId="24DBE381" w:rsidR="004E23B3" w:rsidRDefault="002835BE" w:rsidP="002835BE">
      <w:pPr>
        <w:pStyle w:val="BodyText"/>
      </w:pPr>
      <w:r>
        <w:t>In addition, the following report is also transmitted using MAC CE</w:t>
      </w:r>
      <w:r w:rsidR="00925A85">
        <w:t>:</w:t>
      </w:r>
    </w:p>
    <w:p w14:paraId="42ABA420" w14:textId="6ED8CEFC" w:rsidR="00E57884" w:rsidRDefault="00E57884" w:rsidP="00181193">
      <w:pPr>
        <w:pStyle w:val="ListBullet"/>
      </w:pPr>
      <w:proofErr w:type="spellStart"/>
      <w:r w:rsidRPr="003541C3">
        <w:rPr>
          <w:lang w:eastAsia="ko-KR"/>
        </w:rPr>
        <w:t>Sidelink</w:t>
      </w:r>
      <w:proofErr w:type="spellEnd"/>
      <w:r w:rsidRPr="003541C3">
        <w:rPr>
          <w:lang w:eastAsia="ko-KR"/>
        </w:rPr>
        <w:t xml:space="preserve"> CSI Reporting MAC CE</w:t>
      </w:r>
      <w:r>
        <w:rPr>
          <w:lang w:eastAsia="ko-KR"/>
        </w:rPr>
        <w:t>.</w:t>
      </w:r>
    </w:p>
    <w:p w14:paraId="4A44A033" w14:textId="00D09367" w:rsidR="00452D7E" w:rsidRDefault="00E71D92" w:rsidP="00F46DE1">
      <w:pPr>
        <w:pStyle w:val="Heading3"/>
      </w:pPr>
      <w:r>
        <w:t>2.</w:t>
      </w:r>
      <w:r w:rsidR="004321CD">
        <w:t>3</w:t>
      </w:r>
      <w:r>
        <w:t>.2</w:t>
      </w:r>
      <w:r>
        <w:tab/>
        <w:t>UCI</w:t>
      </w:r>
    </w:p>
    <w:p w14:paraId="62BB440A" w14:textId="48240659" w:rsidR="00D47368" w:rsidRPr="00DE6148" w:rsidRDefault="00D47368" w:rsidP="00D47368">
      <w:pPr>
        <w:pStyle w:val="BodyText"/>
      </w:pPr>
      <w:r>
        <w:t xml:space="preserve">UCI is sent outside the transport block. </w:t>
      </w:r>
      <w:r w:rsidRPr="00DE6148">
        <w:t>Thereby, it is not protected by HARQ</w:t>
      </w:r>
      <w:r w:rsidR="00FD597D">
        <w:t>:</w:t>
      </w:r>
      <w:r w:rsidRPr="00DE6148">
        <w:t xml:space="preserve"> </w:t>
      </w:r>
      <w:r w:rsidR="00FD597D">
        <w:t>i</w:t>
      </w:r>
      <w:r w:rsidRPr="00DE6148">
        <w:t xml:space="preserve">f UCI is missed, it is lost. Hence, </w:t>
      </w:r>
      <w:r w:rsidR="002831B5" w:rsidRPr="00DE6148">
        <w:t xml:space="preserve">to fulfil the requirement on reliability discussed in section 2.1, additional </w:t>
      </w:r>
      <w:r w:rsidR="00071BC0" w:rsidRPr="00DE6148">
        <w:t>steps are needed.</w:t>
      </w:r>
    </w:p>
    <w:p w14:paraId="7643EE8E" w14:textId="6EC91D37" w:rsidR="00071BC0" w:rsidRDefault="00071BC0" w:rsidP="00D47368">
      <w:pPr>
        <w:pStyle w:val="BodyText"/>
      </w:pPr>
      <w:r w:rsidRPr="00DE6148">
        <w:t>Before discussing this aspect, we note that there is no header for UCI. The NW must know that a certain PUSCH (or PUCCH) contains UCI, and the NW must also know the format of</w:t>
      </w:r>
      <w:r>
        <w:t xml:space="preserve"> the UCI. The case where the UE decides the format and sends it to the network is not a viable option, since the NW will not be able to decode that transmission.</w:t>
      </w:r>
      <w:r w:rsidR="0020446A">
        <w:t xml:space="preserve"> Hence, the NW must </w:t>
      </w:r>
      <w:r w:rsidR="0020446A" w:rsidRPr="00FD597D">
        <w:rPr>
          <w:i/>
          <w:iCs/>
        </w:rPr>
        <w:t xml:space="preserve">poll </w:t>
      </w:r>
      <w:r w:rsidR="0020446A">
        <w:t>for a certain report carried in UCI. For the UE-initiated reporting, the NW must know not only that an event was triggered, but also which event was triggered.</w:t>
      </w:r>
      <w:r w:rsidR="004262B8">
        <w:t xml:space="preserve"> To inform the NW that </w:t>
      </w:r>
      <w:r w:rsidR="00633F72">
        <w:t>which</w:t>
      </w:r>
      <w:r w:rsidR="004262B8">
        <w:t xml:space="preserve"> event has occurred, there is a need to introduce a special indication, for example a special SR or a special RACH resource</w:t>
      </w:r>
      <w:r w:rsidR="00841F95">
        <w:t>.</w:t>
      </w:r>
      <w:r w:rsidR="004262B8">
        <w:t xml:space="preserve"> </w:t>
      </w:r>
      <w:r w:rsidR="00841F95">
        <w:t>T</w:t>
      </w:r>
      <w:r w:rsidR="004262B8">
        <w:t>he legacy SR or legacy RACH cannot be used, since</w:t>
      </w:r>
      <w:r w:rsidR="00797D3B">
        <w:t xml:space="preserve"> the NW does not </w:t>
      </w:r>
      <w:r w:rsidR="00841F95">
        <w:t xml:space="preserve">know that an event was </w:t>
      </w:r>
      <w:r w:rsidR="00905F70">
        <w:t>triggered and</w:t>
      </w:r>
      <w:r w:rsidR="00841F95">
        <w:t xml:space="preserve"> will not poll the </w:t>
      </w:r>
      <w:r w:rsidR="00DB54CD">
        <w:t>UE for (the correct) report</w:t>
      </w:r>
      <w:r w:rsidR="00841F95">
        <w:t>.</w:t>
      </w:r>
    </w:p>
    <w:p w14:paraId="5A388062" w14:textId="6CA63E5B" w:rsidR="00DB54CD" w:rsidRDefault="00DB54CD" w:rsidP="00D47368">
      <w:pPr>
        <w:pStyle w:val="BodyText"/>
      </w:pPr>
      <w:r>
        <w:t xml:space="preserve">Hence, we </w:t>
      </w:r>
      <w:proofErr w:type="gramStart"/>
      <w:r>
        <w:t>observe</w:t>
      </w:r>
      <w:proofErr w:type="gramEnd"/>
    </w:p>
    <w:p w14:paraId="6775115D" w14:textId="73131B3A" w:rsidR="00DB54CD" w:rsidRDefault="00DB54CD" w:rsidP="00DB54CD">
      <w:pPr>
        <w:pStyle w:val="Observation"/>
      </w:pPr>
      <w:bookmarkStart w:id="17" w:name="_Toc159244994"/>
      <w:r>
        <w:t>If UCI is used to carry the UE-initiated beam report, a special indication channel is needed, either a special SR or a special RACH resource.</w:t>
      </w:r>
      <w:bookmarkEnd w:id="17"/>
    </w:p>
    <w:p w14:paraId="2F40BAC4" w14:textId="1309DFB0" w:rsidR="00DB54CD" w:rsidRDefault="00B00CE0" w:rsidP="00D47368">
      <w:pPr>
        <w:pStyle w:val="BodyText"/>
      </w:pPr>
      <w:r>
        <w:t xml:space="preserve">Coming back to the discussion about reliability of the </w:t>
      </w:r>
      <w:r w:rsidR="00A434F2">
        <w:t xml:space="preserve">UE-initiated report, we realize there are essentially </w:t>
      </w:r>
      <w:r w:rsidR="00905F70">
        <w:t xml:space="preserve">two ways to </w:t>
      </w:r>
      <w:r w:rsidR="00500C63">
        <w:t>achieve the desired reliab</w:t>
      </w:r>
      <w:r w:rsidR="00277DE2">
        <w:t>ility</w:t>
      </w:r>
      <w:r w:rsidR="0098462E">
        <w:t>:</w:t>
      </w:r>
    </w:p>
    <w:p w14:paraId="0BC265D5" w14:textId="43D2A9E1" w:rsidR="00EE4F05" w:rsidRDefault="00EE4F05" w:rsidP="004D7546">
      <w:pPr>
        <w:pStyle w:val="ListNumber"/>
      </w:pPr>
      <w:r>
        <w:t xml:space="preserve">The retransmissions are polled explicitly by the NW. </w:t>
      </w:r>
      <w:r w:rsidR="00955D2C">
        <w:t xml:space="preserve">When the NW has received the indication, it knows </w:t>
      </w:r>
      <w:r w:rsidR="00AC7F46">
        <w:t xml:space="preserve">an event has occurred. Based on this knowledge, the NW can </w:t>
      </w:r>
      <w:r w:rsidR="00FD597D">
        <w:t>(</w:t>
      </w:r>
      <w:r w:rsidR="00BA5359">
        <w:t>repeatedly</w:t>
      </w:r>
      <w:r w:rsidR="00FD597D">
        <w:t>)</w:t>
      </w:r>
      <w:r w:rsidR="00BA5359">
        <w:t xml:space="preserve"> request</w:t>
      </w:r>
      <w:r w:rsidR="00AC7F46">
        <w:t xml:space="preserve"> the </w:t>
      </w:r>
      <w:r w:rsidR="00BA5359">
        <w:t xml:space="preserve">same beam </w:t>
      </w:r>
      <w:r w:rsidR="00AC7F46">
        <w:t xml:space="preserve">report until it is </w:t>
      </w:r>
      <w:r w:rsidR="00BA5359">
        <w:t xml:space="preserve">successfully </w:t>
      </w:r>
      <w:r w:rsidR="00AC7F46">
        <w:t>received. Note that this would require that the UE keeps the report also after it was transmitted.</w:t>
      </w:r>
      <w:r w:rsidR="008A5825">
        <w:t xml:space="preserve"> In fact, it is unclear when the UE would discard the report: keep in mind that there is no ACK of the </w:t>
      </w:r>
      <w:r w:rsidR="00BA5838">
        <w:t>UCI.</w:t>
      </w:r>
      <w:r w:rsidR="00661B91">
        <w:t xml:space="preserve"> The advantage with this method is that the air interface load is small.</w:t>
      </w:r>
    </w:p>
    <w:p w14:paraId="4F2A13D1" w14:textId="40760F4B" w:rsidR="00BA5838" w:rsidRDefault="004D7546" w:rsidP="004D7546">
      <w:pPr>
        <w:pStyle w:val="ListNumber"/>
      </w:pPr>
      <w:r>
        <w:t xml:space="preserve">The UE repeats the procedure </w:t>
      </w:r>
      <w:proofErr w:type="gramStart"/>
      <w:r w:rsidR="00FF3E97">
        <w:t>as long as</w:t>
      </w:r>
      <w:proofErr w:type="gramEnd"/>
      <w:r w:rsidR="00FF3E97">
        <w:t xml:space="preserve"> the event is fulfilled. This means </w:t>
      </w:r>
      <w:r w:rsidR="00846559">
        <w:t xml:space="preserve">transmission of the indication, and transmission of the report according to the </w:t>
      </w:r>
      <w:r w:rsidR="00882915">
        <w:t>polling from the network</w:t>
      </w:r>
      <w:r w:rsidR="001A1AD5">
        <w:t xml:space="preserve">. When the event is no longer fulfilled, the UE would stop the procedure. </w:t>
      </w:r>
      <w:r w:rsidR="008D02AE">
        <w:t xml:space="preserve">This is </w:t>
      </w:r>
      <w:r w:rsidR="00895E79">
        <w:t xml:space="preserve">a cleaner procedure: fundamentally the legacy UCI reporting </w:t>
      </w:r>
      <w:r w:rsidR="00B6691E">
        <w:t xml:space="preserve">procedure </w:t>
      </w:r>
      <w:r w:rsidR="00895E79">
        <w:t xml:space="preserve">could be used, and the UE would not need to keep the report after transmitting it. </w:t>
      </w:r>
      <w:r w:rsidR="00105621">
        <w:t>T</w:t>
      </w:r>
      <w:r w:rsidR="006058B2">
        <w:t xml:space="preserve">o stop the procedure, the NW would, e.g., update the TCI state according to the report content. Once the NW has changed the TCI state, the event condition would no longer be fulfilled: the serving beam would be the best beam. </w:t>
      </w:r>
      <w:r w:rsidR="00711943">
        <w:t xml:space="preserve">On the other hand, this method may cause an excessive air interface load, and it would not be appropriate for all events: the NW may not (immediately) react to </w:t>
      </w:r>
      <w:r w:rsidR="007A3BC6">
        <w:t xml:space="preserve">a </w:t>
      </w:r>
      <w:r w:rsidR="00B6691E">
        <w:t>received report</w:t>
      </w:r>
      <w:r w:rsidR="007A3BC6">
        <w:t>.</w:t>
      </w:r>
    </w:p>
    <w:p w14:paraId="61121EF4" w14:textId="144C81F7" w:rsidR="00452D7E" w:rsidRDefault="008215F7" w:rsidP="004321CD">
      <w:pPr>
        <w:pStyle w:val="BodyText"/>
      </w:pPr>
      <w:r>
        <w:t xml:space="preserve">Of these solutions, the first seems more attractive. The main issue </w:t>
      </w:r>
      <w:r w:rsidR="00B43B12">
        <w:t>is that it becomes complicated to define when the UE should discard a measurement report</w:t>
      </w:r>
      <w:r w:rsidR="00EB06F6">
        <w:t>. Once the UE discards the report, the UE would again evaluate the condition, and potentially trigger the event</w:t>
      </w:r>
      <w:r w:rsidR="004321CD">
        <w:t>. This procedure would then be repeated.</w:t>
      </w:r>
      <w:r w:rsidR="00EB06F6">
        <w:t xml:space="preserve"> </w:t>
      </w:r>
    </w:p>
    <w:p w14:paraId="0EADFA82" w14:textId="6379C249" w:rsidR="00B40FEB" w:rsidRDefault="00B40FEB" w:rsidP="00B40FEB">
      <w:pPr>
        <w:pStyle w:val="BodyText"/>
      </w:pPr>
      <w:r>
        <w:t>The steps to perform beam reporting over</w:t>
      </w:r>
      <w:r w:rsidR="008F4D73">
        <w:t xml:space="preserve"> UC</w:t>
      </w:r>
      <w:r w:rsidR="00B6691E">
        <w:t>I</w:t>
      </w:r>
      <w:r w:rsidR="008F4D73">
        <w:t xml:space="preserve"> </w:t>
      </w:r>
      <w:r>
        <w:t xml:space="preserve">are depicted in </w:t>
      </w:r>
      <w:r w:rsidR="000F1CBD">
        <w:fldChar w:fldCharType="begin"/>
      </w:r>
      <w:r w:rsidR="000F1CBD">
        <w:instrText xml:space="preserve"> REF _Ref158975620 \h </w:instrText>
      </w:r>
      <w:r w:rsidR="000F1CBD">
        <w:fldChar w:fldCharType="separate"/>
      </w:r>
      <w:r w:rsidR="00814C04">
        <w:t xml:space="preserve">Figure </w:t>
      </w:r>
      <w:r w:rsidR="00814C04">
        <w:rPr>
          <w:noProof/>
        </w:rPr>
        <w:t>2</w:t>
      </w:r>
      <w:r w:rsidR="000F1CBD">
        <w:fldChar w:fldCharType="end"/>
      </w:r>
      <w:r>
        <w:t>.</w:t>
      </w:r>
      <w:r w:rsidR="0038457A">
        <w:t xml:space="preserve"> Note the resemblance with </w:t>
      </w:r>
      <w:r w:rsidR="0038457A">
        <w:fldChar w:fldCharType="begin"/>
      </w:r>
      <w:r w:rsidR="0038457A">
        <w:instrText xml:space="preserve"> REF _Ref158973809 \h </w:instrText>
      </w:r>
      <w:r w:rsidR="0038457A">
        <w:fldChar w:fldCharType="separate"/>
      </w:r>
      <w:r w:rsidR="00814C04">
        <w:t xml:space="preserve">Figure </w:t>
      </w:r>
      <w:r w:rsidR="00814C04">
        <w:rPr>
          <w:noProof/>
        </w:rPr>
        <w:t>1</w:t>
      </w:r>
      <w:r w:rsidR="0038457A">
        <w:fldChar w:fldCharType="end"/>
      </w:r>
      <w:r w:rsidR="0038457A">
        <w:t>.</w:t>
      </w:r>
    </w:p>
    <w:p w14:paraId="2C1E1C55" w14:textId="55AD3FD6" w:rsidR="000F1CBD" w:rsidRDefault="000F1CBD" w:rsidP="000F1CBD">
      <w:pPr>
        <w:pStyle w:val="TH"/>
      </w:pPr>
      <w:r w:rsidRPr="000F1CBD">
        <w:rPr>
          <w:noProof/>
        </w:rPr>
        <w:lastRenderedPageBreak/>
        <w:drawing>
          <wp:inline distT="0" distB="0" distL="0" distR="0" wp14:anchorId="3E095870" wp14:editId="52C02979">
            <wp:extent cx="2017221" cy="33020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5924" cy="3316246"/>
                    </a:xfrm>
                    <a:prstGeom prst="rect">
                      <a:avLst/>
                    </a:prstGeom>
                    <a:noFill/>
                    <a:ln>
                      <a:noFill/>
                    </a:ln>
                  </pic:spPr>
                </pic:pic>
              </a:graphicData>
            </a:graphic>
          </wp:inline>
        </w:drawing>
      </w:r>
    </w:p>
    <w:p w14:paraId="7C3B6C12" w14:textId="051F025F" w:rsidR="00B40FEB" w:rsidRDefault="00B40FEB" w:rsidP="00501823">
      <w:pPr>
        <w:pStyle w:val="TF"/>
      </w:pPr>
      <w:bookmarkStart w:id="18" w:name="_Ref158975620"/>
      <w:r>
        <w:t xml:space="preserve">Figure </w:t>
      </w:r>
      <w:r w:rsidR="00814C04">
        <w:fldChar w:fldCharType="begin"/>
      </w:r>
      <w:r w:rsidR="00814C04">
        <w:instrText xml:space="preserve"> SEQ Figure \* ARABIC </w:instrText>
      </w:r>
      <w:r w:rsidR="00814C04">
        <w:fldChar w:fldCharType="separate"/>
      </w:r>
      <w:r w:rsidR="00814C04">
        <w:rPr>
          <w:noProof/>
        </w:rPr>
        <w:t>2</w:t>
      </w:r>
      <w:r w:rsidR="00814C04">
        <w:rPr>
          <w:noProof/>
        </w:rPr>
        <w:fldChar w:fldCharType="end"/>
      </w:r>
      <w:bookmarkEnd w:id="18"/>
      <w:r>
        <w:t xml:space="preserve">: Reporting over </w:t>
      </w:r>
      <w:r w:rsidR="000F1CBD">
        <w:rPr>
          <w:lang w:val="en-US"/>
        </w:rPr>
        <w:t>UCI</w:t>
      </w:r>
      <w:r>
        <w:t>.</w:t>
      </w:r>
    </w:p>
    <w:p w14:paraId="68976CEC" w14:textId="140D2A0F" w:rsidR="002320D4" w:rsidRDefault="006F6F10" w:rsidP="006F6F10">
      <w:pPr>
        <w:pStyle w:val="Heading2"/>
      </w:pPr>
      <w:r>
        <w:t>2.</w:t>
      </w:r>
      <w:r w:rsidR="00710257">
        <w:t>4</w:t>
      </w:r>
      <w:r>
        <w:tab/>
        <w:t>Other</w:t>
      </w:r>
    </w:p>
    <w:p w14:paraId="771BF6E7" w14:textId="77777777" w:rsidR="00455F35" w:rsidRDefault="00AA5C3C" w:rsidP="002320D4">
      <w:pPr>
        <w:pStyle w:val="BodyText"/>
      </w:pPr>
      <w:r>
        <w:t xml:space="preserve">When defining UE-initiated reporting, there are </w:t>
      </w:r>
      <w:r w:rsidR="00455F35">
        <w:t>a few additional topics that deserve attention. We discuss them here.</w:t>
      </w:r>
    </w:p>
    <w:p w14:paraId="54CDF844" w14:textId="78C1D708" w:rsidR="00455F35" w:rsidRDefault="00455F35" w:rsidP="00455F35">
      <w:pPr>
        <w:pStyle w:val="Heading3"/>
      </w:pPr>
      <w:r>
        <w:t>2.</w:t>
      </w:r>
      <w:r w:rsidR="00710257">
        <w:t>4</w:t>
      </w:r>
      <w:r>
        <w:t>.1</w:t>
      </w:r>
      <w:r>
        <w:tab/>
        <w:t>Need for filtering</w:t>
      </w:r>
    </w:p>
    <w:p w14:paraId="0AD0162C" w14:textId="3E73611B" w:rsidR="006F6F10" w:rsidRDefault="00455F35" w:rsidP="002320D4">
      <w:pPr>
        <w:pStyle w:val="BodyText"/>
      </w:pPr>
      <w:r>
        <w:t>For NW-initiated beam reports, there are many beam reports sent before the TCI state is updated:</w:t>
      </w:r>
      <w:r w:rsidR="00DD665B">
        <w:t xml:space="preserve"> the NW requests a beam report from the UE </w:t>
      </w:r>
      <w:proofErr w:type="gramStart"/>
      <w:r w:rsidR="00DD665B">
        <w:t>more or less blindly</w:t>
      </w:r>
      <w:proofErr w:type="gramEnd"/>
      <w:r w:rsidR="00DD665B">
        <w:t xml:space="preserve">: only after checking the content of the report, the NW will understand if there is a need to update the NW transmit beam or the TCI state of the UE. Note that these two are not necessarily the same: </w:t>
      </w:r>
      <w:r w:rsidR="00D12C59">
        <w:t>sometimes</w:t>
      </w:r>
      <w:r w:rsidR="002153E7">
        <w:t xml:space="preserve"> </w:t>
      </w:r>
      <w:r w:rsidR="001C3D02">
        <w:t xml:space="preserve">different </w:t>
      </w:r>
      <w:r w:rsidR="002153E7">
        <w:t>NW transmit beams are associated with the same TCI state.</w:t>
      </w:r>
      <w:r w:rsidR="00DD665B">
        <w:t xml:space="preserve"> </w:t>
      </w:r>
    </w:p>
    <w:p w14:paraId="074FB514" w14:textId="17DF7BAD" w:rsidR="00DD665B" w:rsidRDefault="00DD665B" w:rsidP="002320D4">
      <w:pPr>
        <w:pStyle w:val="BodyText"/>
      </w:pPr>
      <w:r>
        <w:t>To determine when a TCI state</w:t>
      </w:r>
      <w:r w:rsidR="00934403">
        <w:t xml:space="preserve"> update</w:t>
      </w:r>
      <w:r>
        <w:t xml:space="preserve"> is needed, the NW will request beam reports from the UE at regular intervals. Most of these beam reports will not lead to a change in TCI state:</w:t>
      </w:r>
    </w:p>
    <w:p w14:paraId="6149A659" w14:textId="358A58B1" w:rsidR="00455F35" w:rsidRDefault="00DD665B" w:rsidP="00455F35">
      <w:pPr>
        <w:pStyle w:val="Observation"/>
      </w:pPr>
      <w:bookmarkStart w:id="19" w:name="_Ref158019631"/>
      <w:bookmarkStart w:id="20" w:name="_Toc159244995"/>
      <w:r>
        <w:t xml:space="preserve">Most of the </w:t>
      </w:r>
      <w:r w:rsidR="00AB6B1B">
        <w:t xml:space="preserve">NW-triggered </w:t>
      </w:r>
      <w:r>
        <w:t xml:space="preserve">beam reports sent by the UE will not lead to </w:t>
      </w:r>
      <w:r w:rsidR="00AB6B1B">
        <w:t>an updated TCI state.</w:t>
      </w:r>
      <w:bookmarkEnd w:id="19"/>
      <w:bookmarkEnd w:id="20"/>
    </w:p>
    <w:p w14:paraId="2305BDAC" w14:textId="050344A3" w:rsidR="00AB6B1B" w:rsidRDefault="00AB6B1B" w:rsidP="000F4DB4">
      <w:pPr>
        <w:pStyle w:val="BodyText"/>
      </w:pPr>
      <w:r>
        <w:t xml:space="preserve">This is the main benefit of a UE-initiated beam report: since the report is only sent when the UE discovers that it would be beneficial to update the TCI state, most reports </w:t>
      </w:r>
      <w:r w:rsidRPr="00AB6B1B">
        <w:rPr>
          <w:i/>
          <w:iCs/>
        </w:rPr>
        <w:t xml:space="preserve">should </w:t>
      </w:r>
      <w:r>
        <w:t xml:space="preserve">result in an updated TCI state. </w:t>
      </w:r>
    </w:p>
    <w:p w14:paraId="72748C98" w14:textId="4239A435" w:rsidR="00AB6B1B" w:rsidRDefault="003F154B" w:rsidP="00AB6B1B">
      <w:pPr>
        <w:pStyle w:val="BodyText"/>
      </w:pPr>
      <w:r>
        <w:t xml:space="preserve">If a </w:t>
      </w:r>
      <w:r w:rsidR="00252AFB">
        <w:t>beam report should result in a TCI state update, spurious reports must be avoided. There are two main reasons for such spurious reports</w:t>
      </w:r>
      <w:r w:rsidR="00814C04">
        <w:t>:</w:t>
      </w:r>
    </w:p>
    <w:p w14:paraId="385889F1" w14:textId="3444B54B" w:rsidR="00252AFB" w:rsidRDefault="00252AFB" w:rsidP="00252AFB">
      <w:pPr>
        <w:pStyle w:val="ListBullet"/>
      </w:pPr>
      <w:r>
        <w:t>Fast fading: TCI states should not be updated based on fast fading</w:t>
      </w:r>
      <w:r w:rsidR="00111ECF">
        <w:t>, since</w:t>
      </w:r>
      <w:r w:rsidR="00E805C8">
        <w:t xml:space="preserve"> such</w:t>
      </w:r>
      <w:r w:rsidR="00111ECF">
        <w:t xml:space="preserve"> pathloss changes are not persistent. If the TCI state is updated based on fast fading, there is a large risk that the TCI state </w:t>
      </w:r>
      <w:r w:rsidR="00E805C8">
        <w:t>must</w:t>
      </w:r>
      <w:r w:rsidR="00111ECF">
        <w:t xml:space="preserve"> be reverted more or less immediately.</w:t>
      </w:r>
    </w:p>
    <w:p w14:paraId="340B80CA" w14:textId="30FD88BE" w:rsidR="00252AFB" w:rsidRDefault="00252AFB" w:rsidP="00AB6B1B">
      <w:pPr>
        <w:pStyle w:val="ListBullet"/>
      </w:pPr>
      <w:r>
        <w:t>Measurement errors:</w:t>
      </w:r>
      <w:r w:rsidR="00111ECF">
        <w:t xml:space="preserve"> </w:t>
      </w:r>
      <w:r w:rsidR="00E805C8">
        <w:t xml:space="preserve">The beam measurements are associated with measurement errors. Acting on a single (erroneous) beam measurement should be avoided. </w:t>
      </w:r>
      <w:r w:rsidR="0084376A">
        <w:t>Note that the RAN4 requirements on L1-RSRP and L1-SINR (</w:t>
      </w:r>
      <w:r w:rsidR="0084376A">
        <w:fldChar w:fldCharType="begin"/>
      </w:r>
      <w:r w:rsidR="0084376A">
        <w:instrText xml:space="preserve"> REF _Ref158023070 \r \h </w:instrText>
      </w:r>
      <w:r w:rsidR="0084376A">
        <w:fldChar w:fldCharType="separate"/>
      </w:r>
      <w:r w:rsidR="00814C04">
        <w:t>[3]</w:t>
      </w:r>
      <w:r w:rsidR="0084376A">
        <w:fldChar w:fldCharType="end"/>
      </w:r>
      <w:r w:rsidR="0084376A">
        <w:t>,</w:t>
      </w:r>
      <w:r w:rsidR="00244E95">
        <w:t xml:space="preserve"> section 10.1.19</w:t>
      </w:r>
      <w:r w:rsidR="0084376A">
        <w:t>) are quite relaxed.</w:t>
      </w:r>
    </w:p>
    <w:p w14:paraId="314B3E9E" w14:textId="5113615D" w:rsidR="004651EF" w:rsidRDefault="004651EF" w:rsidP="00AB6B1B">
      <w:pPr>
        <w:pStyle w:val="BodyText"/>
      </w:pPr>
      <w:r>
        <w:t xml:space="preserve">Without proper consideration of these two aspects, there is a clear risk for </w:t>
      </w:r>
      <w:r w:rsidRPr="00B83E47">
        <w:rPr>
          <w:i/>
        </w:rPr>
        <w:t>ping-pong</w:t>
      </w:r>
      <w:r>
        <w:t xml:space="preserve"> TCI state updates, which should be avoided.</w:t>
      </w:r>
    </w:p>
    <w:p w14:paraId="0D81ED33" w14:textId="2B659E8E" w:rsidR="003074F5" w:rsidRDefault="003074F5" w:rsidP="00AB6B1B">
      <w:pPr>
        <w:pStyle w:val="BodyText"/>
      </w:pPr>
      <w:r>
        <w:t xml:space="preserve">In </w:t>
      </w:r>
      <w:r>
        <w:fldChar w:fldCharType="begin"/>
      </w:r>
      <w:r>
        <w:instrText xml:space="preserve"> REF _Ref159232727 \h </w:instrText>
      </w:r>
      <w:r>
        <w:fldChar w:fldCharType="separate"/>
      </w:r>
      <w:r w:rsidR="00814C04">
        <w:t xml:space="preserve">Figure </w:t>
      </w:r>
      <w:r w:rsidR="00814C04">
        <w:rPr>
          <w:noProof/>
        </w:rPr>
        <w:t>3</w:t>
      </w:r>
      <w:r>
        <w:fldChar w:fldCharType="end"/>
      </w:r>
      <w:r>
        <w:t xml:space="preserve">, we illustrate the issues related to spurious RSRP variations. The figure shows a six-minute measurement of RSRP in a </w:t>
      </w:r>
      <w:proofErr w:type="spellStart"/>
      <w:r>
        <w:t>mmW</w:t>
      </w:r>
      <w:proofErr w:type="spellEnd"/>
      <w:r>
        <w:t xml:space="preserve"> system for a pedestrian UE. The DL data is transmitted in 200ms bursts, during which the UE reports measurements</w:t>
      </w:r>
      <w:r w:rsidR="00E7601C">
        <w:t xml:space="preserve"> every 40ms</w:t>
      </w:r>
      <w:r>
        <w:t xml:space="preserve"> which the NW may use to update the beam.</w:t>
      </w:r>
    </w:p>
    <w:p w14:paraId="6B4D24DD" w14:textId="60D78EA1" w:rsidR="00440609" w:rsidRDefault="003074F5" w:rsidP="003074F5">
      <w:pPr>
        <w:pStyle w:val="TH"/>
      </w:pPr>
      <w:r w:rsidRPr="003074F5">
        <w:rPr>
          <w:noProof/>
        </w:rPr>
        <w:lastRenderedPageBreak/>
        <w:drawing>
          <wp:inline distT="0" distB="0" distL="0" distR="0" wp14:anchorId="1EBE2E1E" wp14:editId="3E907D00">
            <wp:extent cx="6120765" cy="29870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987040"/>
                    </a:xfrm>
                    <a:prstGeom prst="rect">
                      <a:avLst/>
                    </a:prstGeom>
                    <a:noFill/>
                    <a:ln>
                      <a:noFill/>
                    </a:ln>
                  </pic:spPr>
                </pic:pic>
              </a:graphicData>
            </a:graphic>
          </wp:inline>
        </w:drawing>
      </w:r>
    </w:p>
    <w:p w14:paraId="62F551AB" w14:textId="7C7F7CF0" w:rsidR="00440609" w:rsidRPr="003F4727" w:rsidRDefault="003074F5" w:rsidP="003F4727">
      <w:pPr>
        <w:pStyle w:val="TF"/>
        <w:rPr>
          <w:lang w:val="en-US"/>
        </w:rPr>
      </w:pPr>
      <w:bookmarkStart w:id="21" w:name="_Ref159232727"/>
      <w:r>
        <w:t xml:space="preserve">Figure </w:t>
      </w:r>
      <w:r w:rsidR="00814C04">
        <w:fldChar w:fldCharType="begin"/>
      </w:r>
      <w:r w:rsidR="00814C04">
        <w:instrText xml:space="preserve"> SEQ Figure \* ARABIC </w:instrText>
      </w:r>
      <w:r w:rsidR="00814C04">
        <w:fldChar w:fldCharType="separate"/>
      </w:r>
      <w:r w:rsidR="00814C04">
        <w:rPr>
          <w:noProof/>
        </w:rPr>
        <w:t>3</w:t>
      </w:r>
      <w:r w:rsidR="00814C04">
        <w:rPr>
          <w:noProof/>
        </w:rPr>
        <w:fldChar w:fldCharType="end"/>
      </w:r>
      <w:bookmarkEnd w:id="21"/>
      <w:r>
        <w:t xml:space="preserve">: </w:t>
      </w:r>
      <w:r>
        <w:rPr>
          <w:lang w:val="en-US"/>
        </w:rPr>
        <w:t>Illustration of RSRP for a pedestrian UE. Note that the UE sometimes fails to measure the SSB RSRP.</w:t>
      </w:r>
    </w:p>
    <w:p w14:paraId="25D93850" w14:textId="01988776" w:rsidR="00F57429" w:rsidRDefault="00F57429" w:rsidP="00AB6B1B">
      <w:pPr>
        <w:pStyle w:val="BodyText"/>
      </w:pPr>
      <w:r>
        <w:t xml:space="preserve">A zoomed-in picture of one 200ms burst is depicted in </w:t>
      </w:r>
      <w:r>
        <w:fldChar w:fldCharType="begin"/>
      </w:r>
      <w:r>
        <w:instrText xml:space="preserve"> REF _Ref159234028 \h </w:instrText>
      </w:r>
      <w:r>
        <w:fldChar w:fldCharType="separate"/>
      </w:r>
      <w:r w:rsidR="00814C04">
        <w:t xml:space="preserve">Figure </w:t>
      </w:r>
      <w:r w:rsidR="00814C04">
        <w:rPr>
          <w:noProof/>
        </w:rPr>
        <w:t>4</w:t>
      </w:r>
      <w:r>
        <w:fldChar w:fldCharType="end"/>
      </w:r>
    </w:p>
    <w:p w14:paraId="6E029B7A" w14:textId="036178FC" w:rsidR="00E7601C" w:rsidRDefault="00F57429" w:rsidP="00F57429">
      <w:pPr>
        <w:pStyle w:val="TH"/>
      </w:pPr>
      <w:r w:rsidRPr="00F57429">
        <w:rPr>
          <w:noProof/>
        </w:rPr>
        <w:drawing>
          <wp:inline distT="0" distB="0" distL="0" distR="0" wp14:anchorId="7444EF5D" wp14:editId="41A9B670">
            <wp:extent cx="3194050" cy="2394586"/>
            <wp:effectExtent l="0" t="0" r="635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112" cy="2399131"/>
                    </a:xfrm>
                    <a:prstGeom prst="rect">
                      <a:avLst/>
                    </a:prstGeom>
                    <a:noFill/>
                    <a:ln>
                      <a:noFill/>
                    </a:ln>
                  </pic:spPr>
                </pic:pic>
              </a:graphicData>
            </a:graphic>
          </wp:inline>
        </w:drawing>
      </w:r>
      <w:r w:rsidR="0002041B">
        <w:t xml:space="preserve"> </w:t>
      </w:r>
    </w:p>
    <w:p w14:paraId="41417875" w14:textId="15702BC3" w:rsidR="00F57429" w:rsidRPr="003074F5" w:rsidRDefault="00F57429" w:rsidP="00F57429">
      <w:pPr>
        <w:pStyle w:val="TF"/>
        <w:rPr>
          <w:lang w:val="en-US"/>
        </w:rPr>
      </w:pPr>
      <w:bookmarkStart w:id="22" w:name="_Ref159234028"/>
      <w:r>
        <w:t xml:space="preserve">Figure </w:t>
      </w:r>
      <w:r w:rsidR="00814C04">
        <w:fldChar w:fldCharType="begin"/>
      </w:r>
      <w:r w:rsidR="00814C04">
        <w:instrText xml:space="preserve"> SEQ Figure \* ARABIC </w:instrText>
      </w:r>
      <w:r w:rsidR="00814C04">
        <w:fldChar w:fldCharType="separate"/>
      </w:r>
      <w:r w:rsidR="00814C04">
        <w:rPr>
          <w:noProof/>
        </w:rPr>
        <w:t>4</w:t>
      </w:r>
      <w:r w:rsidR="00814C04">
        <w:rPr>
          <w:noProof/>
        </w:rPr>
        <w:fldChar w:fldCharType="end"/>
      </w:r>
      <w:bookmarkEnd w:id="22"/>
      <w:r>
        <w:t xml:space="preserve">: </w:t>
      </w:r>
      <w:r>
        <w:rPr>
          <w:lang w:val="en-US"/>
        </w:rPr>
        <w:t xml:space="preserve">Illustration of RSRP for a pedestrian UE during 200ms. During this time, the UE has moved </w:t>
      </w:r>
      <w:r w:rsidR="007C01F1">
        <w:rPr>
          <w:lang w:val="en-US"/>
        </w:rPr>
        <w:t>around 18cm.</w:t>
      </w:r>
      <w:r>
        <w:rPr>
          <w:lang w:val="en-US"/>
        </w:rPr>
        <w:t xml:space="preserve"> </w:t>
      </w:r>
    </w:p>
    <w:p w14:paraId="055A2D93" w14:textId="4E27EB8A" w:rsidR="00F57429" w:rsidRDefault="007C01F1" w:rsidP="00AB6B1B">
      <w:pPr>
        <w:pStyle w:val="BodyText"/>
      </w:pPr>
      <w:r>
        <w:t xml:space="preserve">From </w:t>
      </w:r>
      <w:r>
        <w:fldChar w:fldCharType="begin"/>
      </w:r>
      <w:r>
        <w:instrText xml:space="preserve"> REF _Ref159234028 \h </w:instrText>
      </w:r>
      <w:r>
        <w:fldChar w:fldCharType="separate"/>
      </w:r>
      <w:r w:rsidR="00814C04">
        <w:t xml:space="preserve">Figure </w:t>
      </w:r>
      <w:r w:rsidR="00814C04">
        <w:rPr>
          <w:noProof/>
        </w:rPr>
        <w:t>4</w:t>
      </w:r>
      <w:r>
        <w:fldChar w:fldCharType="end"/>
      </w:r>
      <w:r>
        <w:t>, we realize that the RSRP may very well vary significantly, without moving across the beam pattern: based on these RSRP measurements, the NW should not change the Tx beam</w:t>
      </w:r>
      <w:r w:rsidR="002A513F">
        <w:t xml:space="preserve"> – and it does not</w:t>
      </w:r>
      <w:r w:rsidR="00814C04">
        <w:t>, since the NW applies additional logic based on the measurement reports.</w:t>
      </w:r>
    </w:p>
    <w:p w14:paraId="6AF8EC2E" w14:textId="59D74E2C" w:rsidR="004651EF" w:rsidRDefault="002A513F" w:rsidP="00AB6B1B">
      <w:pPr>
        <w:pStyle w:val="BodyText"/>
      </w:pPr>
      <w:r>
        <w:t xml:space="preserve">The </w:t>
      </w:r>
      <w:r w:rsidR="00251152">
        <w:t>issue</w:t>
      </w:r>
      <w:r>
        <w:t xml:space="preserve"> of spurious RSRP measurements</w:t>
      </w:r>
      <w:r w:rsidR="00251152">
        <w:t xml:space="preserve"> </w:t>
      </w:r>
      <w:r>
        <w:t xml:space="preserve">were </w:t>
      </w:r>
      <w:r w:rsidR="00251152">
        <w:t xml:space="preserve">acknowledged in the design of the event-driven reporting for L3 mobility, already in 3G. The solution is based on IIR filtering of the RSRP measurements, and to trigger a report, the filtered measurements </w:t>
      </w:r>
      <w:r w:rsidR="004651EF">
        <w:t xml:space="preserve">must </w:t>
      </w:r>
      <w:r w:rsidR="00251152">
        <w:t xml:space="preserve">fulfil </w:t>
      </w:r>
      <w:r w:rsidR="004651EF">
        <w:t>the</w:t>
      </w:r>
      <w:r w:rsidR="00251152">
        <w:t xml:space="preserve"> condition for a configured </w:t>
      </w:r>
      <w:r w:rsidR="00D74AB6">
        <w:t>time</w:t>
      </w:r>
      <w:r w:rsidR="00251152">
        <w:t xml:space="preserve">, the </w:t>
      </w:r>
      <w:r w:rsidR="00251152">
        <w:rPr>
          <w:i/>
          <w:iCs/>
        </w:rPr>
        <w:t xml:space="preserve">time-to-trigger. </w:t>
      </w:r>
      <w:r w:rsidR="00251152">
        <w:t xml:space="preserve">With these two </w:t>
      </w:r>
      <w:r w:rsidR="004651EF">
        <w:t xml:space="preserve">measures, the number of spurious reports and ping-pong handovers is reduced. But they are not eliminated. </w:t>
      </w:r>
    </w:p>
    <w:p w14:paraId="39E6E5AC" w14:textId="728C8CAF" w:rsidR="004651EF" w:rsidRDefault="004651EF" w:rsidP="00AB6B1B">
      <w:pPr>
        <w:pStyle w:val="BodyText"/>
      </w:pPr>
      <w:r>
        <w:t xml:space="preserve">Clearly, UE-initiated beam reporting can use another solution than L3 mobility: the impact of ping-pong is less severe for beam </w:t>
      </w:r>
      <w:r w:rsidR="0084376A">
        <w:t>management since</w:t>
      </w:r>
      <w:r>
        <w:t xml:space="preserve"> the TCI state update </w:t>
      </w:r>
      <w:r w:rsidR="003F4727">
        <w:t>signalling</w:t>
      </w:r>
      <w:r>
        <w:t xml:space="preserve"> is </w:t>
      </w:r>
      <w:r w:rsidR="0084376A">
        <w:t xml:space="preserve">leaner and faster than the handover </w:t>
      </w:r>
      <w:r w:rsidR="00814C04">
        <w:t>signalling</w:t>
      </w:r>
      <w:r w:rsidR="0084376A">
        <w:t>. However, this is an important aspect. Therefore, we propose that RAN1 studies this:</w:t>
      </w:r>
    </w:p>
    <w:p w14:paraId="6F01ECA0" w14:textId="74DF4573" w:rsidR="0084376A" w:rsidRDefault="0084376A" w:rsidP="0084376A">
      <w:pPr>
        <w:pStyle w:val="Proposal"/>
      </w:pPr>
      <w:bookmarkStart w:id="23" w:name="_Toc159245005"/>
      <w:r>
        <w:t>RAN1 to study how to reduce the number of spurious beam measurement reports, e.g., by measurement filtering.</w:t>
      </w:r>
      <w:bookmarkEnd w:id="23"/>
    </w:p>
    <w:p w14:paraId="6DC1E128" w14:textId="6AE0910D" w:rsidR="0084376A" w:rsidRDefault="0084376A" w:rsidP="0084376A">
      <w:pPr>
        <w:pStyle w:val="BodyText"/>
      </w:pPr>
      <w:r>
        <w:t>The outcome of this study would affect how the</w:t>
      </w:r>
      <w:r w:rsidR="001D6F69">
        <w:t xml:space="preserve"> report content and format are designed.</w:t>
      </w:r>
    </w:p>
    <w:p w14:paraId="5B9B1745" w14:textId="3643EAEB" w:rsidR="0084376A" w:rsidRDefault="0084376A" w:rsidP="0084376A">
      <w:pPr>
        <w:pStyle w:val="Heading3"/>
      </w:pPr>
      <w:r>
        <w:lastRenderedPageBreak/>
        <w:t>2.</w:t>
      </w:r>
      <w:r w:rsidR="00710257">
        <w:t>4</w:t>
      </w:r>
      <w:r>
        <w:t>.2</w:t>
      </w:r>
      <w:r>
        <w:tab/>
        <w:t xml:space="preserve">Reduce TCI state activation </w:t>
      </w:r>
      <w:proofErr w:type="gramStart"/>
      <w:r>
        <w:t>time</w:t>
      </w:r>
      <w:proofErr w:type="gramEnd"/>
    </w:p>
    <w:p w14:paraId="068C28A5" w14:textId="10FDE65B" w:rsidR="00DC76C1" w:rsidRDefault="004B6D08" w:rsidP="00AB6B1B">
      <w:pPr>
        <w:pStyle w:val="BodyText"/>
      </w:pPr>
      <w:r>
        <w:t xml:space="preserve">As previously stated, the main purpose of the UE-initiated beam reporting is to reduce the overhead. However, if the event is carefully designed, there is a possibility to also reduce the latency. </w:t>
      </w:r>
      <w:r w:rsidR="0084376A">
        <w:t xml:space="preserve">As described already in </w:t>
      </w:r>
      <w:r w:rsidR="007F7262">
        <w:fldChar w:fldCharType="begin"/>
      </w:r>
      <w:r w:rsidR="007F7262">
        <w:instrText xml:space="preserve"> REF _Ref158023934 \r \h </w:instrText>
      </w:r>
      <w:r w:rsidR="007F7262">
        <w:fldChar w:fldCharType="separate"/>
      </w:r>
      <w:r w:rsidR="00814C04">
        <w:t>[2]</w:t>
      </w:r>
      <w:r w:rsidR="007F7262">
        <w:fldChar w:fldCharType="end"/>
      </w:r>
      <w:r w:rsidR="007F7262">
        <w:t xml:space="preserve">, the main contributor to the TCI state update delay is the TCI state activation delay: when the UE receives a TCI state activation command, the UE waits until it receives the next SSB that is associated with the TCI state in the activation command. Only when the UE has received and processed the next occurrence of the SSB, the TCI state can be used by the NW to transmit DL signals. </w:t>
      </w:r>
      <w:r w:rsidR="00DC76C1">
        <w:t xml:space="preserve">This corresponding requirement is described in </w:t>
      </w:r>
      <w:r w:rsidR="00DC76C1">
        <w:fldChar w:fldCharType="begin"/>
      </w:r>
      <w:r w:rsidR="00DC76C1">
        <w:instrText xml:space="preserve"> REF _Ref158023070 \r \h </w:instrText>
      </w:r>
      <w:r w:rsidR="00DC76C1">
        <w:fldChar w:fldCharType="separate"/>
      </w:r>
      <w:r w:rsidR="00814C04">
        <w:t>[3]</w:t>
      </w:r>
      <w:r w:rsidR="00DC76C1">
        <w:fldChar w:fldCharType="end"/>
      </w:r>
      <w:r w:rsidR="00DC76C1">
        <w:t>, and the relevant paragraph is provided below:</w:t>
      </w:r>
    </w:p>
    <w:p w14:paraId="7B3A7E41" w14:textId="0CF5D8A5" w:rsidR="00DC76C1" w:rsidRDefault="00DC76C1" w:rsidP="00AB6B1B">
      <w:pPr>
        <w:pStyle w:val="BodyText"/>
      </w:pPr>
      <w:r>
        <w:rPr>
          <w:noProof/>
        </w:rPr>
        <mc:AlternateContent>
          <mc:Choice Requires="wps">
            <w:drawing>
              <wp:inline distT="0" distB="0" distL="0" distR="0" wp14:anchorId="4E84EF62" wp14:editId="5DB9AF9E">
                <wp:extent cx="6120765" cy="639758"/>
                <wp:effectExtent l="0" t="0" r="13335" b="2286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A86F8DB" w14:textId="218D08C3" w:rsidR="00DC76C1" w:rsidRPr="009C5807" w:rsidRDefault="00DC76C1" w:rsidP="00DC76C1">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proofErr w:type="gramStart"/>
                            <w:r w:rsidRPr="009C5807">
                              <w:t>]</w:t>
                            </w:r>
                            <w:r w:rsidRPr="009C5807">
                              <w:rPr>
                                <w:rFonts w:eastAsia="Malgun Gothic"/>
                                <w:lang w:val="en-US" w:eastAsia="zh-CN"/>
                              </w:rPr>
                              <w:t>;</w:t>
                            </w:r>
                            <w:proofErr w:type="gramEnd"/>
                            <w:r w:rsidRPr="009C5807">
                              <w:rPr>
                                <w:rFonts w:eastAsia="Malgun Gothic"/>
                                <w:lang w:val="en-US" w:eastAsia="zh-CN"/>
                              </w:rPr>
                              <w:t xml:space="preserve"> </w:t>
                            </w:r>
                          </w:p>
                          <w:p w14:paraId="5705C68B" w14:textId="77777777" w:rsidR="00DC76C1" w:rsidRPr="009C5807" w:rsidRDefault="00DC76C1" w:rsidP="00DC76C1">
                            <w:pPr>
                              <w:pStyle w:val="B1"/>
                              <w:rPr>
                                <w:lang w:val="en-US"/>
                              </w:rPr>
                            </w:pPr>
                            <w:r w:rsidRPr="009C5807">
                              <w:t>-</w:t>
                            </w:r>
                            <w:r w:rsidRPr="009C5807">
                              <w:tab/>
                            </w:r>
                            <w:proofErr w:type="spellStart"/>
                            <w:r w:rsidRPr="009C5807">
                              <w:rPr>
                                <w:lang w:val="en-US"/>
                              </w:rPr>
                              <w:t>T</w:t>
                            </w:r>
                            <w:r w:rsidRPr="009C5807">
                              <w:rPr>
                                <w:vertAlign w:val="subscript"/>
                                <w:lang w:val="en-US"/>
                              </w:rPr>
                              <w:t>first</w:t>
                            </w:r>
                            <w:proofErr w:type="spellEnd"/>
                            <w:r w:rsidRPr="009C5807">
                              <w:rPr>
                                <w:vertAlign w:val="subscript"/>
                                <w:lang w:val="en-US"/>
                              </w:rPr>
                              <w:t xml:space="preserve">-SSB </w:t>
                            </w:r>
                            <w:r w:rsidRPr="009C5807">
                              <w:rPr>
                                <w:lang w:val="en-US"/>
                              </w:rPr>
                              <w:t>is time to first SSB transmission after MAC CE command is decoded by the UE; The SSB shall be the QCL-</w:t>
                            </w:r>
                            <w:proofErr w:type="spellStart"/>
                            <w:r w:rsidRPr="009C5807">
                              <w:rPr>
                                <w:lang w:val="en-US"/>
                              </w:rPr>
                              <w:t>TypeA</w:t>
                            </w:r>
                            <w:proofErr w:type="spellEnd"/>
                            <w:r w:rsidRPr="009C5807">
                              <w:rPr>
                                <w:lang w:val="en-US"/>
                              </w:rPr>
                              <w:t xml:space="preserve"> or QCL-</w:t>
                            </w:r>
                            <w:proofErr w:type="spellStart"/>
                            <w:r w:rsidRPr="009C5807">
                              <w:rPr>
                                <w:lang w:val="en-US"/>
                              </w:rPr>
                              <w:t>TypeC</w:t>
                            </w:r>
                            <w:proofErr w:type="spellEnd"/>
                            <w:r w:rsidRPr="009C5807">
                              <w:rPr>
                                <w:lang w:val="en-US"/>
                              </w:rPr>
                              <w:t xml:space="preserve"> to target TCI state</w:t>
                            </w:r>
                          </w:p>
                          <w:p w14:paraId="139EAC4C" w14:textId="77777777" w:rsidR="00DC76C1" w:rsidRPr="009C5807" w:rsidRDefault="00DC76C1" w:rsidP="00DC76C1">
                            <w:pPr>
                              <w:pStyle w:val="B1"/>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2 </w:t>
                            </w:r>
                            <w:proofErr w:type="spellStart"/>
                            <w:proofErr w:type="gramStart"/>
                            <w:r w:rsidRPr="009C5807">
                              <w:rPr>
                                <w:lang w:val="en-US"/>
                              </w:rPr>
                              <w:t>ms</w:t>
                            </w:r>
                            <w:proofErr w:type="spellEnd"/>
                            <w:r w:rsidRPr="009C5807">
                              <w:rPr>
                                <w:lang w:val="en-US"/>
                              </w:rPr>
                              <w:t>;</w:t>
                            </w:r>
                            <w:proofErr w:type="gramEnd"/>
                            <w:r w:rsidRPr="009C5807">
                              <w:rPr>
                                <w:lang w:val="en-US"/>
                              </w:rPr>
                              <w:t xml:space="preserve"> </w:t>
                            </w:r>
                          </w:p>
                          <w:p w14:paraId="3E7CA4A8" w14:textId="4A37CDB1" w:rsidR="00DC76C1" w:rsidRPr="00DC76C1" w:rsidRDefault="00DC76C1" w:rsidP="00DC76C1">
                            <w:pPr>
                              <w:pStyle w:val="B1"/>
                              <w:rPr>
                                <w:lang w:val="en-US"/>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E84EF62" id="Text Box 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6A86F8DB" w14:textId="218D08C3" w:rsidR="00DC76C1" w:rsidRPr="009C5807" w:rsidRDefault="00DC76C1" w:rsidP="00DC76C1">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proofErr w:type="gramStart"/>
                      <w:r w:rsidRPr="009C5807">
                        <w:t>]</w:t>
                      </w:r>
                      <w:r w:rsidRPr="009C5807">
                        <w:rPr>
                          <w:rFonts w:eastAsia="Malgun Gothic"/>
                          <w:lang w:val="en-US" w:eastAsia="zh-CN"/>
                        </w:rPr>
                        <w:t>;</w:t>
                      </w:r>
                      <w:proofErr w:type="gramEnd"/>
                      <w:r w:rsidRPr="009C5807">
                        <w:rPr>
                          <w:rFonts w:eastAsia="Malgun Gothic"/>
                          <w:lang w:val="en-US" w:eastAsia="zh-CN"/>
                        </w:rPr>
                        <w:t xml:space="preserve"> </w:t>
                      </w:r>
                    </w:p>
                    <w:p w14:paraId="5705C68B" w14:textId="77777777" w:rsidR="00DC76C1" w:rsidRPr="009C5807" w:rsidRDefault="00DC76C1" w:rsidP="00DC76C1">
                      <w:pPr>
                        <w:pStyle w:val="B1"/>
                        <w:rPr>
                          <w:lang w:val="en-US"/>
                        </w:rPr>
                      </w:pPr>
                      <w:r w:rsidRPr="009C5807">
                        <w:t>-</w:t>
                      </w:r>
                      <w:r w:rsidRPr="009C5807">
                        <w:tab/>
                      </w:r>
                      <w:proofErr w:type="spellStart"/>
                      <w:r w:rsidRPr="009C5807">
                        <w:rPr>
                          <w:lang w:val="en-US"/>
                        </w:rPr>
                        <w:t>T</w:t>
                      </w:r>
                      <w:r w:rsidRPr="009C5807">
                        <w:rPr>
                          <w:vertAlign w:val="subscript"/>
                          <w:lang w:val="en-US"/>
                        </w:rPr>
                        <w:t>first</w:t>
                      </w:r>
                      <w:proofErr w:type="spellEnd"/>
                      <w:r w:rsidRPr="009C5807">
                        <w:rPr>
                          <w:vertAlign w:val="subscript"/>
                          <w:lang w:val="en-US"/>
                        </w:rPr>
                        <w:t xml:space="preserve">-SSB </w:t>
                      </w:r>
                      <w:r w:rsidRPr="009C5807">
                        <w:rPr>
                          <w:lang w:val="en-US"/>
                        </w:rPr>
                        <w:t>is time to first SSB transmission after MAC CE command is decoded by the UE; The SSB shall be the QCL-</w:t>
                      </w:r>
                      <w:proofErr w:type="spellStart"/>
                      <w:r w:rsidRPr="009C5807">
                        <w:rPr>
                          <w:lang w:val="en-US"/>
                        </w:rPr>
                        <w:t>TypeA</w:t>
                      </w:r>
                      <w:proofErr w:type="spellEnd"/>
                      <w:r w:rsidRPr="009C5807">
                        <w:rPr>
                          <w:lang w:val="en-US"/>
                        </w:rPr>
                        <w:t xml:space="preserve"> or QCL-</w:t>
                      </w:r>
                      <w:proofErr w:type="spellStart"/>
                      <w:r w:rsidRPr="009C5807">
                        <w:rPr>
                          <w:lang w:val="en-US"/>
                        </w:rPr>
                        <w:t>TypeC</w:t>
                      </w:r>
                      <w:proofErr w:type="spellEnd"/>
                      <w:r w:rsidRPr="009C5807">
                        <w:rPr>
                          <w:lang w:val="en-US"/>
                        </w:rPr>
                        <w:t xml:space="preserve"> to target TCI state</w:t>
                      </w:r>
                    </w:p>
                    <w:p w14:paraId="139EAC4C" w14:textId="77777777" w:rsidR="00DC76C1" w:rsidRPr="009C5807" w:rsidRDefault="00DC76C1" w:rsidP="00DC76C1">
                      <w:pPr>
                        <w:pStyle w:val="B1"/>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2 </w:t>
                      </w:r>
                      <w:proofErr w:type="spellStart"/>
                      <w:proofErr w:type="gramStart"/>
                      <w:r w:rsidRPr="009C5807">
                        <w:rPr>
                          <w:lang w:val="en-US"/>
                        </w:rPr>
                        <w:t>ms</w:t>
                      </w:r>
                      <w:proofErr w:type="spellEnd"/>
                      <w:r w:rsidRPr="009C5807">
                        <w:rPr>
                          <w:lang w:val="en-US"/>
                        </w:rPr>
                        <w:t>;</w:t>
                      </w:r>
                      <w:proofErr w:type="gramEnd"/>
                      <w:r w:rsidRPr="009C5807">
                        <w:rPr>
                          <w:lang w:val="en-US"/>
                        </w:rPr>
                        <w:t xml:space="preserve"> </w:t>
                      </w:r>
                    </w:p>
                    <w:p w14:paraId="3E7CA4A8" w14:textId="4A37CDB1" w:rsidR="00DC76C1" w:rsidRPr="00DC76C1" w:rsidRDefault="00DC76C1" w:rsidP="00DC76C1">
                      <w:pPr>
                        <w:pStyle w:val="B1"/>
                        <w:rPr>
                          <w:lang w:val="en-US"/>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p>
                  </w:txbxContent>
                </v:textbox>
                <w10:anchorlock/>
              </v:shape>
            </w:pict>
          </mc:Fallback>
        </mc:AlternateContent>
      </w:r>
    </w:p>
    <w:p w14:paraId="013A6211" w14:textId="42309B56" w:rsidR="007F7262" w:rsidRDefault="007F7262" w:rsidP="00AB6B1B">
      <w:pPr>
        <w:pStyle w:val="BodyText"/>
      </w:pPr>
      <w:r>
        <w:t xml:space="preserve">Since there is little correlation between a beam report and a subsequent TCI state update (cf. </w:t>
      </w:r>
      <w:r>
        <w:fldChar w:fldCharType="begin"/>
      </w:r>
      <w:r>
        <w:instrText xml:space="preserve"> REF _Ref158019631 \r \h </w:instrText>
      </w:r>
      <w:r>
        <w:fldChar w:fldCharType="separate"/>
      </w:r>
      <w:r w:rsidR="00814C04">
        <w:t>Observation 7</w:t>
      </w:r>
      <w:r>
        <w:fldChar w:fldCharType="end"/>
      </w:r>
      <w:r>
        <w:t xml:space="preserve">), this behaviour may be reasonable with NW-initiated beam reporting. </w:t>
      </w:r>
    </w:p>
    <w:p w14:paraId="061FABA8" w14:textId="4A949369" w:rsidR="0084376A" w:rsidRDefault="007F7262" w:rsidP="00AB6B1B">
      <w:pPr>
        <w:pStyle w:val="BodyText"/>
      </w:pPr>
      <w:r>
        <w:t>However, the situation is different for UE-initiated beam reports: the UE-initiated reporting should be designed and configured so that most beam reports do lead to an updated TCI state. Hence, once the UE transmits such a beam report, it is quite likely that a TCI state activation will follow shortly after:</w:t>
      </w:r>
    </w:p>
    <w:p w14:paraId="063F8811" w14:textId="61ED6AF8" w:rsidR="007F7262" w:rsidRDefault="007F7262" w:rsidP="007F7262">
      <w:pPr>
        <w:pStyle w:val="Observation"/>
      </w:pPr>
      <w:bookmarkStart w:id="24" w:name="_Toc159244996"/>
      <w:r>
        <w:t>Shortly after a UE-initiated beam report, it is quite likely that the NW will update/activate a TCI state.</w:t>
      </w:r>
      <w:bookmarkEnd w:id="24"/>
    </w:p>
    <w:p w14:paraId="2B487572" w14:textId="77777777" w:rsidR="00DC76C1" w:rsidRDefault="004651EF" w:rsidP="00AB6B1B">
      <w:pPr>
        <w:pStyle w:val="BodyText"/>
      </w:pPr>
      <w:r>
        <w:t>S</w:t>
      </w:r>
      <w:r w:rsidR="00DC76C1">
        <w:t>ince it is likely that the NW will update the TCI state in response to the UE-initiated beam report, it would be reasonable that the UE remembers the QCL properties of the SSB that is associated with the reference signal that triggered the report. This would eliminate the need for the UE to wait for another SSB before activating the TCI state:</w:t>
      </w:r>
    </w:p>
    <w:p w14:paraId="2E5B24CC" w14:textId="0B2B9501" w:rsidR="00DC76C1" w:rsidRPr="00240E36" w:rsidRDefault="00DC76C1" w:rsidP="00DC76C1">
      <w:pPr>
        <w:pStyle w:val="Proposal"/>
        <w:overflowPunct/>
        <w:autoSpaceDE/>
        <w:autoSpaceDN/>
        <w:adjustRightInd/>
        <w:spacing w:line="259" w:lineRule="auto"/>
        <w:textAlignment w:val="auto"/>
      </w:pPr>
      <w:bookmarkStart w:id="25" w:name="_Ref158024872"/>
      <w:bookmarkStart w:id="26" w:name="_Toc47708506"/>
      <w:bookmarkStart w:id="27" w:name="_Toc159245006"/>
      <w:r w:rsidRPr="00240E36">
        <w:t xml:space="preserve">After </w:t>
      </w:r>
      <w:r>
        <w:t>sending a UE-initiated beam report, the UE would store the QCL properties of the SSB associated with the reference signal that triggered the measurement report.</w:t>
      </w:r>
      <w:bookmarkEnd w:id="25"/>
      <w:bookmarkEnd w:id="27"/>
      <w:r>
        <w:t xml:space="preserve"> </w:t>
      </w:r>
      <w:bookmarkEnd w:id="26"/>
    </w:p>
    <w:p w14:paraId="43D978AB" w14:textId="76995B24" w:rsidR="00EF6D93" w:rsidRDefault="00DC76C1" w:rsidP="00244E95">
      <w:pPr>
        <w:pStyle w:val="BodyText"/>
      </w:pPr>
      <w:r>
        <w:t xml:space="preserve">With </w:t>
      </w:r>
      <w:r>
        <w:fldChar w:fldCharType="begin"/>
      </w:r>
      <w:r>
        <w:instrText xml:space="preserve"> REF _Ref158024872 \r \h </w:instrText>
      </w:r>
      <w:r>
        <w:fldChar w:fldCharType="separate"/>
      </w:r>
      <w:r w:rsidR="00814C04">
        <w:t>Proposal 10</w:t>
      </w:r>
      <w:r>
        <w:fldChar w:fldCharType="end"/>
      </w:r>
      <w:r>
        <w:t xml:space="preserve">, the TCI state activation delay would </w:t>
      </w:r>
      <w:r w:rsidR="00244E95">
        <w:t>be reduced. Referring t</w:t>
      </w:r>
      <w:r w:rsidR="004651EF">
        <w:t xml:space="preserve">o </w:t>
      </w:r>
      <w:r w:rsidR="00244E95">
        <w:t xml:space="preserve">the requirement in </w:t>
      </w:r>
      <w:r w:rsidR="00244E95">
        <w:fldChar w:fldCharType="begin"/>
      </w:r>
      <w:r w:rsidR="00244E95">
        <w:instrText xml:space="preserve"> REF _Ref158023070 \r \h </w:instrText>
      </w:r>
      <w:r w:rsidR="00244E95">
        <w:fldChar w:fldCharType="separate"/>
      </w:r>
      <w:r w:rsidR="00814C04">
        <w:t>[3]</w:t>
      </w:r>
      <w:r w:rsidR="00244E95">
        <w:fldChar w:fldCharType="end"/>
      </w:r>
      <w:r w:rsidR="00244E95">
        <w:t xml:space="preserve">, </w:t>
      </w:r>
      <w:proofErr w:type="spellStart"/>
      <w:r w:rsidR="00244E95" w:rsidRPr="009C5807">
        <w:rPr>
          <w:lang w:val="en-US"/>
        </w:rPr>
        <w:t>TO</w:t>
      </w:r>
      <w:r w:rsidR="00244E95" w:rsidRPr="009C5807">
        <w:rPr>
          <w:vertAlign w:val="subscript"/>
          <w:lang w:val="en-US"/>
        </w:rPr>
        <w:t>k</w:t>
      </w:r>
      <w:proofErr w:type="spellEnd"/>
      <w:r w:rsidR="00244E95" w:rsidRPr="009C5807">
        <w:rPr>
          <w:lang w:val="en-US"/>
        </w:rPr>
        <w:t xml:space="preserve"> = </w:t>
      </w:r>
      <w:r w:rsidR="00244E95">
        <w:rPr>
          <w:lang w:val="en-US"/>
        </w:rPr>
        <w:t>0</w:t>
      </w:r>
      <w:r w:rsidR="00244E95" w:rsidRPr="009C5807">
        <w:rPr>
          <w:lang w:val="en-US"/>
        </w:rPr>
        <w:t xml:space="preserve"> </w:t>
      </w:r>
      <w:r w:rsidR="00244E95">
        <w:rPr>
          <w:lang w:val="en-US"/>
        </w:rPr>
        <w:t xml:space="preserve">if the reference signal that triggered the latest UE-initiated beam report is associated with the </w:t>
      </w:r>
      <w:r w:rsidR="00244E95" w:rsidRPr="00244E95">
        <w:rPr>
          <w:lang w:val="en-US"/>
        </w:rPr>
        <w:t xml:space="preserve">SSB </w:t>
      </w:r>
      <w:r w:rsidR="00244E95">
        <w:rPr>
          <w:lang w:val="en-US"/>
        </w:rPr>
        <w:t xml:space="preserve">that is </w:t>
      </w:r>
      <w:r w:rsidR="00244E95" w:rsidRPr="00244E95">
        <w:rPr>
          <w:lang w:val="en-US"/>
        </w:rPr>
        <w:t>the QCL-</w:t>
      </w:r>
      <w:proofErr w:type="spellStart"/>
      <w:r w:rsidR="00244E95" w:rsidRPr="00244E95">
        <w:rPr>
          <w:lang w:val="en-US"/>
        </w:rPr>
        <w:t>TypeA</w:t>
      </w:r>
      <w:proofErr w:type="spellEnd"/>
      <w:r w:rsidR="00244E95" w:rsidRPr="00244E95">
        <w:rPr>
          <w:lang w:val="en-US"/>
        </w:rPr>
        <w:t xml:space="preserve"> or QCL-</w:t>
      </w:r>
      <w:proofErr w:type="spellStart"/>
      <w:r w:rsidR="00244E95" w:rsidRPr="00244E95">
        <w:rPr>
          <w:lang w:val="en-US"/>
        </w:rPr>
        <w:t>TypeC</w:t>
      </w:r>
      <w:proofErr w:type="spellEnd"/>
      <w:r w:rsidR="00244E95" w:rsidRPr="00244E95">
        <w:rPr>
          <w:lang w:val="en-US"/>
        </w:rPr>
        <w:t xml:space="preserve"> to target TCI state</w:t>
      </w:r>
      <w:r w:rsidR="00244E95">
        <w:rPr>
          <w:lang w:val="en-US"/>
        </w:rPr>
        <w:t>.</w:t>
      </w: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B8CE730" w14:textId="1A5DE0DE" w:rsidR="00814C04" w:rsidRDefault="006F65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44989" w:history="1">
        <w:r w:rsidR="00814C04" w:rsidRPr="00C25710">
          <w:rPr>
            <w:rStyle w:val="Hyperlink"/>
            <w:noProof/>
          </w:rPr>
          <w:t>Observation 1</w:t>
        </w:r>
        <w:r w:rsidR="00814C04">
          <w:rPr>
            <w:rFonts w:asciiTheme="minorHAnsi" w:eastAsiaTheme="minorEastAsia" w:hAnsiTheme="minorHAnsi" w:cstheme="minorBidi"/>
            <w:b w:val="0"/>
            <w:noProof/>
            <w:kern w:val="2"/>
            <w:sz w:val="22"/>
            <w:szCs w:val="22"/>
            <w:lang w:val="en-SE" w:eastAsia="en-SE"/>
            <w14:ligatures w14:val="standardContextual"/>
          </w:rPr>
          <w:tab/>
        </w:r>
        <w:r w:rsidR="00814C04" w:rsidRPr="00C25710">
          <w:rPr>
            <w:rStyle w:val="Hyperlink"/>
            <w:noProof/>
          </w:rPr>
          <w:t>The triggering of events in NR are specified, i.e., not up to UE implementation.</w:t>
        </w:r>
      </w:hyperlink>
    </w:p>
    <w:p w14:paraId="278E002B" w14:textId="726F955A"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4990" w:history="1">
        <w:r w:rsidRPr="00C25710">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C25710">
          <w:rPr>
            <w:rStyle w:val="Hyperlink"/>
            <w:noProof/>
          </w:rPr>
          <w:t>For reports that are carried by MAC CE, the UE can send the report directly using available resources.</w:t>
        </w:r>
      </w:hyperlink>
    </w:p>
    <w:p w14:paraId="0DA94266" w14:textId="44B1564F"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4991" w:history="1">
        <w:r w:rsidRPr="00C25710">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C25710">
          <w:rPr>
            <w:rStyle w:val="Hyperlink"/>
            <w:noProof/>
          </w:rPr>
          <w:t>If the UE-initiated report is carried by MAC CE, a single triggering occasion is enough and the HARQ retransmissions ensure that the report reaches the NW.</w:t>
        </w:r>
      </w:hyperlink>
    </w:p>
    <w:p w14:paraId="3164EF30" w14:textId="22B79886"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4992" w:history="1">
        <w:r w:rsidRPr="00C25710">
          <w:rPr>
            <w:rStyle w:val="Hyperlink"/>
            <w:noProof/>
          </w:rPr>
          <w:t>Observation 4</w:t>
        </w:r>
        <w:r>
          <w:rPr>
            <w:rFonts w:asciiTheme="minorHAnsi" w:eastAsiaTheme="minorEastAsia" w:hAnsiTheme="minorHAnsi" w:cstheme="minorBidi"/>
            <w:b w:val="0"/>
            <w:noProof/>
            <w:kern w:val="2"/>
            <w:sz w:val="22"/>
            <w:szCs w:val="22"/>
            <w:lang w:val="en-SE" w:eastAsia="en-SE"/>
            <w14:ligatures w14:val="standardContextual"/>
          </w:rPr>
          <w:tab/>
        </w:r>
        <w:r w:rsidRPr="00C25710">
          <w:rPr>
            <w:rStyle w:val="Hyperlink"/>
            <w:noProof/>
          </w:rPr>
          <w:t>MAC CE provides flexibility on the support of multiple events out of the box.</w:t>
        </w:r>
      </w:hyperlink>
    </w:p>
    <w:p w14:paraId="0838DDC1" w14:textId="0A71200A"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4993" w:history="1">
        <w:r w:rsidRPr="00C25710">
          <w:rPr>
            <w:rStyle w:val="Hyperlink"/>
            <w:noProof/>
          </w:rPr>
          <w:t>Observation 5</w:t>
        </w:r>
        <w:r>
          <w:rPr>
            <w:rFonts w:asciiTheme="minorHAnsi" w:eastAsiaTheme="minorEastAsia" w:hAnsiTheme="minorHAnsi" w:cstheme="minorBidi"/>
            <w:b w:val="0"/>
            <w:noProof/>
            <w:kern w:val="2"/>
            <w:sz w:val="22"/>
            <w:szCs w:val="22"/>
            <w:lang w:val="en-SE" w:eastAsia="en-SE"/>
            <w14:ligatures w14:val="standardContextual"/>
          </w:rPr>
          <w:tab/>
        </w:r>
        <w:r w:rsidRPr="00C25710">
          <w:rPr>
            <w:rStyle w:val="Hyperlink"/>
            <w:noProof/>
          </w:rPr>
          <w:t>MAC CE provides flexibility on the report content.</w:t>
        </w:r>
      </w:hyperlink>
    </w:p>
    <w:p w14:paraId="089FFC60" w14:textId="2579859A"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4994" w:history="1">
        <w:r w:rsidRPr="00C25710">
          <w:rPr>
            <w:rStyle w:val="Hyperlink"/>
            <w:noProof/>
          </w:rPr>
          <w:t>Observation 6</w:t>
        </w:r>
        <w:r>
          <w:rPr>
            <w:rFonts w:asciiTheme="minorHAnsi" w:eastAsiaTheme="minorEastAsia" w:hAnsiTheme="minorHAnsi" w:cstheme="minorBidi"/>
            <w:b w:val="0"/>
            <w:noProof/>
            <w:kern w:val="2"/>
            <w:sz w:val="22"/>
            <w:szCs w:val="22"/>
            <w:lang w:val="en-SE" w:eastAsia="en-SE"/>
            <w14:ligatures w14:val="standardContextual"/>
          </w:rPr>
          <w:tab/>
        </w:r>
        <w:r w:rsidRPr="00C25710">
          <w:rPr>
            <w:rStyle w:val="Hyperlink"/>
            <w:noProof/>
          </w:rPr>
          <w:t>If UCI is used to carry the UE-initiated beam report, a special indication channel is needed, either a special SR or a special RACH resource.</w:t>
        </w:r>
      </w:hyperlink>
    </w:p>
    <w:p w14:paraId="7CA19862" w14:textId="258B758C"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4995" w:history="1">
        <w:r w:rsidRPr="00C25710">
          <w:rPr>
            <w:rStyle w:val="Hyperlink"/>
            <w:noProof/>
          </w:rPr>
          <w:t>Observation 7</w:t>
        </w:r>
        <w:r>
          <w:rPr>
            <w:rFonts w:asciiTheme="minorHAnsi" w:eastAsiaTheme="minorEastAsia" w:hAnsiTheme="minorHAnsi" w:cstheme="minorBidi"/>
            <w:b w:val="0"/>
            <w:noProof/>
            <w:kern w:val="2"/>
            <w:sz w:val="22"/>
            <w:szCs w:val="22"/>
            <w:lang w:val="en-SE" w:eastAsia="en-SE"/>
            <w14:ligatures w14:val="standardContextual"/>
          </w:rPr>
          <w:tab/>
        </w:r>
        <w:r w:rsidRPr="00C25710">
          <w:rPr>
            <w:rStyle w:val="Hyperlink"/>
            <w:noProof/>
          </w:rPr>
          <w:t>Most of the NW-triggered beam reports sent by the UE will not lead to an updated TCI state.</w:t>
        </w:r>
      </w:hyperlink>
    </w:p>
    <w:p w14:paraId="5E5FD991" w14:textId="32293AFC"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4996" w:history="1">
        <w:r w:rsidRPr="00C25710">
          <w:rPr>
            <w:rStyle w:val="Hyperlink"/>
            <w:noProof/>
          </w:rPr>
          <w:t>Observation 8</w:t>
        </w:r>
        <w:r>
          <w:rPr>
            <w:rFonts w:asciiTheme="minorHAnsi" w:eastAsiaTheme="minorEastAsia" w:hAnsiTheme="minorHAnsi" w:cstheme="minorBidi"/>
            <w:b w:val="0"/>
            <w:noProof/>
            <w:kern w:val="2"/>
            <w:sz w:val="22"/>
            <w:szCs w:val="22"/>
            <w:lang w:val="en-SE" w:eastAsia="en-SE"/>
            <w14:ligatures w14:val="standardContextual"/>
          </w:rPr>
          <w:tab/>
        </w:r>
        <w:r w:rsidRPr="00C25710">
          <w:rPr>
            <w:rStyle w:val="Hyperlink"/>
            <w:noProof/>
          </w:rPr>
          <w:t>Shortly after a UE-initiated beam report, it is quite likely that the NW will update/activate a TCI state.</w:t>
        </w:r>
      </w:hyperlink>
    </w:p>
    <w:p w14:paraId="7F02C213" w14:textId="1E2A7428"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A5EDB4F" w14:textId="6B3C54C6" w:rsidR="00814C04"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44997" w:history="1">
        <w:r w:rsidR="00814C04" w:rsidRPr="001F1D44">
          <w:rPr>
            <w:rStyle w:val="Hyperlink"/>
            <w:noProof/>
          </w:rPr>
          <w:t>Proposal 1</w:t>
        </w:r>
        <w:r w:rsidR="00814C04">
          <w:rPr>
            <w:rFonts w:asciiTheme="minorHAnsi" w:eastAsiaTheme="minorEastAsia" w:hAnsiTheme="minorHAnsi" w:cstheme="minorBidi"/>
            <w:b w:val="0"/>
            <w:noProof/>
            <w:kern w:val="2"/>
            <w:sz w:val="22"/>
            <w:szCs w:val="22"/>
            <w:lang w:val="en-SE" w:eastAsia="en-SE"/>
            <w14:ligatures w14:val="standardContextual"/>
          </w:rPr>
          <w:tab/>
        </w:r>
        <w:r w:rsidR="00814C04" w:rsidRPr="001F1D44">
          <w:rPr>
            <w:rStyle w:val="Hyperlink"/>
            <w:noProof/>
          </w:rPr>
          <w:t>The event(s) for UE-initiated beam reporting are specified in the standard, i.e., the events are not up to UE implementation.</w:t>
        </w:r>
      </w:hyperlink>
    </w:p>
    <w:p w14:paraId="04104F21" w14:textId="379ED88C"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4998" w:history="1">
        <w:r w:rsidRPr="001F1D44">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1F1D44">
          <w:rPr>
            <w:rStyle w:val="Hyperlink"/>
            <w:noProof/>
          </w:rPr>
          <w:t>RAN1 provides RAN2 with a high-level description of a minimum set of events by RAN2#127.</w:t>
        </w:r>
      </w:hyperlink>
    </w:p>
    <w:p w14:paraId="00B847E9" w14:textId="1469E897"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4999" w:history="1">
        <w:r w:rsidRPr="001F1D44">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1F1D44">
          <w:rPr>
            <w:rStyle w:val="Hyperlink"/>
            <w:noProof/>
          </w:rPr>
          <w:t>RAN2 specifies a minimum set of events for UE-initiated beam reporting based on high-level input from RAN1.</w:t>
        </w:r>
      </w:hyperlink>
    </w:p>
    <w:p w14:paraId="38AB5B7C" w14:textId="07F276BB"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5000" w:history="1">
        <w:r w:rsidRPr="001F1D44">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1F1D44">
          <w:rPr>
            <w:rStyle w:val="Hyperlink"/>
            <w:noProof/>
          </w:rPr>
          <w:t>It should be possible to configure more than one event in parallel.</w:t>
        </w:r>
      </w:hyperlink>
    </w:p>
    <w:p w14:paraId="20E17379" w14:textId="4E30796D"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5001" w:history="1">
        <w:r w:rsidRPr="001F1D44">
          <w:rPr>
            <w:rStyle w:val="Hyperlink"/>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1F1D44">
          <w:rPr>
            <w:rStyle w:val="Hyperlink"/>
            <w:noProof/>
          </w:rPr>
          <w:t>RAN1 studies postprocessing of measurements used for events, and ways to control the amount of event triggering.</w:t>
        </w:r>
      </w:hyperlink>
    </w:p>
    <w:p w14:paraId="0417BC95" w14:textId="3F4660A7"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5002" w:history="1">
        <w:r w:rsidRPr="001F1D44">
          <w:rPr>
            <w:rStyle w:val="Hyperlink"/>
            <w:noProof/>
          </w:rPr>
          <w:t>Proposal 6</w:t>
        </w:r>
        <w:r>
          <w:rPr>
            <w:rFonts w:asciiTheme="minorHAnsi" w:eastAsiaTheme="minorEastAsia" w:hAnsiTheme="minorHAnsi" w:cstheme="minorBidi"/>
            <w:b w:val="0"/>
            <w:noProof/>
            <w:kern w:val="2"/>
            <w:sz w:val="22"/>
            <w:szCs w:val="22"/>
            <w:lang w:val="en-SE" w:eastAsia="en-SE"/>
            <w14:ligatures w14:val="standardContextual"/>
          </w:rPr>
          <w:tab/>
        </w:r>
        <w:r w:rsidRPr="001F1D44">
          <w:rPr>
            <w:rStyle w:val="Hyperlink"/>
            <w:noProof/>
          </w:rPr>
          <w:t>The NW provides UL resources for the UE-initiated report dynamically.</w:t>
        </w:r>
      </w:hyperlink>
    </w:p>
    <w:p w14:paraId="1DAA4885" w14:textId="57F9A748"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5003" w:history="1">
        <w:r w:rsidRPr="001F1D44">
          <w:rPr>
            <w:rStyle w:val="Hyperlink"/>
            <w:noProof/>
          </w:rPr>
          <w:t>Proposal 7</w:t>
        </w:r>
        <w:r>
          <w:rPr>
            <w:rFonts w:asciiTheme="minorHAnsi" w:eastAsiaTheme="minorEastAsia" w:hAnsiTheme="minorHAnsi" w:cstheme="minorBidi"/>
            <w:b w:val="0"/>
            <w:noProof/>
            <w:kern w:val="2"/>
            <w:sz w:val="22"/>
            <w:szCs w:val="22"/>
            <w:lang w:val="en-SE" w:eastAsia="en-SE"/>
            <w14:ligatures w14:val="standardContextual"/>
          </w:rPr>
          <w:tab/>
        </w:r>
        <w:r w:rsidRPr="001F1D44">
          <w:rPr>
            <w:rStyle w:val="Hyperlink"/>
            <w:noProof/>
          </w:rPr>
          <w:t>The UE requests UL resources for the transmission of the UE-initiated report using legacy mechanisms.</w:t>
        </w:r>
      </w:hyperlink>
    </w:p>
    <w:p w14:paraId="28ACC61F" w14:textId="70BAA4C6"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5004" w:history="1">
        <w:r w:rsidRPr="001F1D44">
          <w:rPr>
            <w:rStyle w:val="Hyperlink"/>
            <w:noProof/>
          </w:rPr>
          <w:t>Proposal 8</w:t>
        </w:r>
        <w:r>
          <w:rPr>
            <w:rFonts w:asciiTheme="minorHAnsi" w:eastAsiaTheme="minorEastAsia" w:hAnsiTheme="minorHAnsi" w:cstheme="minorBidi"/>
            <w:b w:val="0"/>
            <w:noProof/>
            <w:kern w:val="2"/>
            <w:sz w:val="22"/>
            <w:szCs w:val="22"/>
            <w:lang w:val="en-SE" w:eastAsia="en-SE"/>
            <w14:ligatures w14:val="standardContextual"/>
          </w:rPr>
          <w:tab/>
        </w:r>
        <w:r w:rsidRPr="001F1D44">
          <w:rPr>
            <w:rStyle w:val="Hyperlink"/>
            <w:noProof/>
          </w:rPr>
          <w:t>The legacy beam report content, complemented by information about the triggering event, is the starting point for the report content.</w:t>
        </w:r>
      </w:hyperlink>
    </w:p>
    <w:p w14:paraId="073968C2" w14:textId="750A5484"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5005" w:history="1">
        <w:r w:rsidRPr="001F1D44">
          <w:rPr>
            <w:rStyle w:val="Hyperlink"/>
            <w:noProof/>
          </w:rPr>
          <w:t>Proposal 9</w:t>
        </w:r>
        <w:r>
          <w:rPr>
            <w:rFonts w:asciiTheme="minorHAnsi" w:eastAsiaTheme="minorEastAsia" w:hAnsiTheme="minorHAnsi" w:cstheme="minorBidi"/>
            <w:b w:val="0"/>
            <w:noProof/>
            <w:kern w:val="2"/>
            <w:sz w:val="22"/>
            <w:szCs w:val="22"/>
            <w:lang w:val="en-SE" w:eastAsia="en-SE"/>
            <w14:ligatures w14:val="standardContextual"/>
          </w:rPr>
          <w:tab/>
        </w:r>
        <w:r w:rsidRPr="001F1D44">
          <w:rPr>
            <w:rStyle w:val="Hyperlink"/>
            <w:noProof/>
          </w:rPr>
          <w:t>RAN1 to study how to reduce the number of spurious beam measurement reports, e.g., by measurement filtering.</w:t>
        </w:r>
      </w:hyperlink>
    </w:p>
    <w:p w14:paraId="4074979E" w14:textId="015EB3CD" w:rsidR="00814C04" w:rsidRDefault="00814C0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5006" w:history="1">
        <w:r w:rsidRPr="001F1D44">
          <w:rPr>
            <w:rStyle w:val="Hyperlink"/>
            <w:noProof/>
          </w:rPr>
          <w:t>Proposal 10</w:t>
        </w:r>
        <w:r>
          <w:rPr>
            <w:rFonts w:asciiTheme="minorHAnsi" w:eastAsiaTheme="minorEastAsia" w:hAnsiTheme="minorHAnsi" w:cstheme="minorBidi"/>
            <w:b w:val="0"/>
            <w:noProof/>
            <w:kern w:val="2"/>
            <w:sz w:val="22"/>
            <w:szCs w:val="22"/>
            <w:lang w:val="en-SE" w:eastAsia="en-SE"/>
            <w14:ligatures w14:val="standardContextual"/>
          </w:rPr>
          <w:tab/>
        </w:r>
        <w:r w:rsidRPr="001F1D44">
          <w:rPr>
            <w:rStyle w:val="Hyperlink"/>
            <w:noProof/>
          </w:rPr>
          <w:t>After sending a UE-initiated beam report, the UE would store the QCL properties of the SSB associated with the reference signal that triggered the measurement report.</w:t>
        </w:r>
      </w:hyperlink>
    </w:p>
    <w:p w14:paraId="0596EFFD" w14:textId="53E96AA1" w:rsidR="00C01F33" w:rsidRPr="003946C9" w:rsidRDefault="006E1C82" w:rsidP="003946C9">
      <w:pPr>
        <w:pStyle w:val="BodyText"/>
        <w:rPr>
          <w:b/>
          <w:bCs/>
        </w:rPr>
      </w:pPr>
      <w:r>
        <w:rPr>
          <w:b/>
          <w:bCs/>
          <w:lang w:val="en-US"/>
        </w:rPr>
        <w:fldChar w:fldCharType="end"/>
      </w:r>
    </w:p>
    <w:p w14:paraId="0A817BA1" w14:textId="77777777" w:rsidR="00F507D1" w:rsidRPr="00CE0424" w:rsidRDefault="00F507D1" w:rsidP="00CE0424">
      <w:pPr>
        <w:pStyle w:val="Heading1"/>
      </w:pPr>
      <w:bookmarkStart w:id="28" w:name="_In-sequence_SDU_delivery"/>
      <w:bookmarkEnd w:id="28"/>
      <w:r w:rsidRPr="00CE0424">
        <w:t>References</w:t>
      </w:r>
    </w:p>
    <w:p w14:paraId="613D48BA" w14:textId="45C311B4" w:rsidR="007F05E9" w:rsidRDefault="007F05E9" w:rsidP="00311702">
      <w:pPr>
        <w:pStyle w:val="Reference"/>
      </w:pPr>
      <w:bookmarkStart w:id="29" w:name="_Ref155090105"/>
      <w:bookmarkStart w:id="30" w:name="_Ref174151459"/>
      <w:bookmarkStart w:id="31" w:name="_Ref189809556"/>
      <w:r w:rsidRPr="007F05E9">
        <w:t>RP-234007</w:t>
      </w:r>
      <w:r>
        <w:t xml:space="preserve">, </w:t>
      </w:r>
      <w:r w:rsidR="00575A8D" w:rsidRPr="00575A8D">
        <w:t>New WID: NR MIMO Phase 5</w:t>
      </w:r>
      <w:r w:rsidR="00575A8D">
        <w:t xml:space="preserve">, </w:t>
      </w:r>
      <w:r w:rsidR="00575A8D" w:rsidRPr="00575A8D">
        <w:t>Samsung (Moderator)</w:t>
      </w:r>
      <w:r w:rsidR="00575A8D">
        <w:t>, RAN#102</w:t>
      </w:r>
      <w:r w:rsidR="00710257">
        <w:t>, Edinburgh,</w:t>
      </w:r>
      <w:r w:rsidR="00575A8D">
        <w:t xml:space="preserve"> </w:t>
      </w:r>
      <w:r w:rsidR="00575A8D" w:rsidRPr="00575A8D">
        <w:t>Scotland, December 2023</w:t>
      </w:r>
      <w:bookmarkEnd w:id="29"/>
    </w:p>
    <w:p w14:paraId="56883A8B" w14:textId="38C94773" w:rsidR="001D6F69" w:rsidRDefault="001D6F69" w:rsidP="00311702">
      <w:pPr>
        <w:pStyle w:val="Reference"/>
      </w:pPr>
      <w:bookmarkStart w:id="32" w:name="_Ref158023934"/>
      <w:r w:rsidRPr="001D6F69">
        <w:t>R1-2005842</w:t>
      </w:r>
      <w:r>
        <w:t xml:space="preserve">, </w:t>
      </w:r>
      <w:r w:rsidRPr="001D6F69">
        <w:t>Enhancements to multi-beam operation</w:t>
      </w:r>
      <w:r>
        <w:t>, Ericsson, RAN1</w:t>
      </w:r>
      <w:r w:rsidRPr="001D6F69">
        <w:t>#102-e</w:t>
      </w:r>
      <w:r>
        <w:t xml:space="preserve">, </w:t>
      </w:r>
      <w:r w:rsidRPr="001D6F69">
        <w:t>August 2020</w:t>
      </w:r>
      <w:bookmarkEnd w:id="32"/>
    </w:p>
    <w:p w14:paraId="3CB5829F" w14:textId="419C24C3" w:rsidR="00244E95" w:rsidRDefault="00244E95">
      <w:pPr>
        <w:pStyle w:val="Reference"/>
      </w:pPr>
      <w:bookmarkStart w:id="33" w:name="_Ref158023070"/>
      <w:r w:rsidRPr="00244E95">
        <w:t>3GPP TS 38.133</w:t>
      </w:r>
      <w:r>
        <w:t>, NR; Requirements for support of radio resource management, RAN#101, Bangalore, India, v</w:t>
      </w:r>
      <w:r w:rsidRPr="00244E95">
        <w:t>18.3.0</w:t>
      </w:r>
      <w:r>
        <w:t>, September 2023</w:t>
      </w:r>
    </w:p>
    <w:p w14:paraId="55E04AA4" w14:textId="3017FFD8" w:rsidR="00BE1EE5" w:rsidRDefault="00BE1EE5">
      <w:pPr>
        <w:pStyle w:val="Reference"/>
      </w:pPr>
      <w:bookmarkStart w:id="34" w:name="_Ref158971261"/>
      <w:r w:rsidRPr="00253D75">
        <w:t>3GPP TS 38.401: "NG-RAN; Architecture description"</w:t>
      </w:r>
      <w:r>
        <w:t xml:space="preserve">, RAN#102, Edinburgh, </w:t>
      </w:r>
      <w:r w:rsidRPr="00575A8D">
        <w:t xml:space="preserve">Scotland, </w:t>
      </w:r>
      <w:r w:rsidRPr="00BE1EE5">
        <w:t>V18.0.0</w:t>
      </w:r>
      <w:r>
        <w:t>,</w:t>
      </w:r>
      <w:r w:rsidRPr="00BE1EE5">
        <w:t xml:space="preserve"> </w:t>
      </w:r>
      <w:r w:rsidRPr="00575A8D">
        <w:t>December 2023</w:t>
      </w:r>
      <w:bookmarkEnd w:id="34"/>
    </w:p>
    <w:bookmarkEnd w:id="30"/>
    <w:bookmarkEnd w:id="31"/>
    <w:bookmarkEnd w:id="33"/>
    <w:p w14:paraId="5ED1C3F2"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F88CB" w14:textId="77777777" w:rsidR="00E07F7C" w:rsidRDefault="00E07F7C">
      <w:r>
        <w:separator/>
      </w:r>
    </w:p>
  </w:endnote>
  <w:endnote w:type="continuationSeparator" w:id="0">
    <w:p w14:paraId="48EA858D" w14:textId="77777777" w:rsidR="00E07F7C" w:rsidRDefault="00E07F7C">
      <w:r>
        <w:continuationSeparator/>
      </w:r>
    </w:p>
  </w:endnote>
  <w:endnote w:type="continuationNotice" w:id="1">
    <w:p w14:paraId="22C8BECB" w14:textId="77777777" w:rsidR="00E07F7C" w:rsidRDefault="00E07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516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16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3B9D" w14:textId="77777777" w:rsidR="00E07F7C" w:rsidRDefault="00E07F7C">
      <w:r>
        <w:separator/>
      </w:r>
    </w:p>
  </w:footnote>
  <w:footnote w:type="continuationSeparator" w:id="0">
    <w:p w14:paraId="052DC393" w14:textId="77777777" w:rsidR="00E07F7C" w:rsidRDefault="00E07F7C">
      <w:r>
        <w:continuationSeparator/>
      </w:r>
    </w:p>
  </w:footnote>
  <w:footnote w:type="continuationNotice" w:id="1">
    <w:p w14:paraId="742DC357" w14:textId="77777777" w:rsidR="00E07F7C" w:rsidRDefault="00E07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F07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DEA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79AE9E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8D71E5"/>
    <w:multiLevelType w:val="hybridMultilevel"/>
    <w:tmpl w:val="59C4083C"/>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2B3F28"/>
    <w:multiLevelType w:val="hybridMultilevel"/>
    <w:tmpl w:val="7D606352"/>
    <w:lvl w:ilvl="0" w:tplc="7792A23A">
      <w:start w:val="4"/>
      <w:numFmt w:val="decimal"/>
      <w:lvlText w:val="%1."/>
      <w:lvlJc w:val="left"/>
      <w:pPr>
        <w:ind w:left="360" w:hanging="360"/>
      </w:p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16cid:durableId="373505306">
    <w:abstractNumId w:val="4"/>
  </w:num>
  <w:num w:numId="2" w16cid:durableId="295455841">
    <w:abstractNumId w:val="18"/>
  </w:num>
  <w:num w:numId="3" w16cid:durableId="1004865852">
    <w:abstractNumId w:val="13"/>
  </w:num>
  <w:num w:numId="4" w16cid:durableId="2117093835">
    <w:abstractNumId w:val="14"/>
  </w:num>
  <w:num w:numId="5" w16cid:durableId="677848623">
    <w:abstractNumId w:val="10"/>
  </w:num>
  <w:num w:numId="6" w16cid:durableId="2031445216">
    <w:abstractNumId w:val="17"/>
  </w:num>
  <w:num w:numId="7" w16cid:durableId="944385236">
    <w:abstractNumId w:val="21"/>
  </w:num>
  <w:num w:numId="8" w16cid:durableId="469982521">
    <w:abstractNumId w:val="11"/>
  </w:num>
  <w:num w:numId="9" w16cid:durableId="218438534">
    <w:abstractNumId w:val="9"/>
  </w:num>
  <w:num w:numId="10" w16cid:durableId="1054701326">
    <w:abstractNumId w:val="2"/>
  </w:num>
  <w:num w:numId="11" w16cid:durableId="984511617">
    <w:abstractNumId w:val="1"/>
  </w:num>
  <w:num w:numId="12" w16cid:durableId="58477426">
    <w:abstractNumId w:val="0"/>
  </w:num>
  <w:num w:numId="13" w16cid:durableId="1789278953">
    <w:abstractNumId w:val="19"/>
  </w:num>
  <w:num w:numId="14" w16cid:durableId="412244189">
    <w:abstractNumId w:val="20"/>
  </w:num>
  <w:num w:numId="15" w16cid:durableId="757362590">
    <w:abstractNumId w:val="15"/>
  </w:num>
  <w:num w:numId="16" w16cid:durableId="1635478464">
    <w:abstractNumId w:val="22"/>
  </w:num>
  <w:num w:numId="17" w16cid:durableId="145367432">
    <w:abstractNumId w:val="6"/>
  </w:num>
  <w:num w:numId="18" w16cid:durableId="276720886">
    <w:abstractNumId w:val="7"/>
  </w:num>
  <w:num w:numId="19" w16cid:durableId="1982030722">
    <w:abstractNumId w:val="5"/>
  </w:num>
  <w:num w:numId="20" w16cid:durableId="2047413783">
    <w:abstractNumId w:val="25"/>
  </w:num>
  <w:num w:numId="21" w16cid:durableId="596525663">
    <w:abstractNumId w:val="12"/>
  </w:num>
  <w:num w:numId="22" w16cid:durableId="407583641">
    <w:abstractNumId w:val="24"/>
  </w:num>
  <w:num w:numId="23" w16cid:durableId="473568765">
    <w:abstractNumId w:val="26"/>
  </w:num>
  <w:num w:numId="24" w16cid:durableId="824004464">
    <w:abstractNumId w:val="16"/>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20438">
    <w:abstractNumId w:val="22"/>
  </w:num>
  <w:num w:numId="26" w16cid:durableId="2008358217">
    <w:abstractNumId w:val="3"/>
  </w:num>
  <w:num w:numId="27" w16cid:durableId="807207095">
    <w:abstractNumId w:val="22"/>
  </w:num>
  <w:num w:numId="28" w16cid:durableId="551041835">
    <w:abstractNumId w:val="22"/>
  </w:num>
  <w:num w:numId="29" w16cid:durableId="258178527">
    <w:abstractNumId w:val="22"/>
  </w:num>
  <w:num w:numId="30" w16cid:durableId="1563100593">
    <w:abstractNumId w:val="23"/>
  </w:num>
  <w:num w:numId="31" w16cid:durableId="701631966">
    <w:abstractNumId w:val="8"/>
  </w:num>
  <w:num w:numId="32" w16cid:durableId="2130197347">
    <w:abstractNumId w:val="3"/>
  </w:num>
  <w:num w:numId="33" w16cid:durableId="1422988653">
    <w:abstractNumId w:val="3"/>
  </w:num>
  <w:num w:numId="34" w16cid:durableId="134790168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8B9"/>
    <w:rsid w:val="0000143D"/>
    <w:rsid w:val="00001D0B"/>
    <w:rsid w:val="00002A37"/>
    <w:rsid w:val="00002AB9"/>
    <w:rsid w:val="00002E4A"/>
    <w:rsid w:val="00003E7A"/>
    <w:rsid w:val="00003F86"/>
    <w:rsid w:val="0000564C"/>
    <w:rsid w:val="00006446"/>
    <w:rsid w:val="00006896"/>
    <w:rsid w:val="00007CDC"/>
    <w:rsid w:val="00011B28"/>
    <w:rsid w:val="00015D15"/>
    <w:rsid w:val="0002041B"/>
    <w:rsid w:val="000207EF"/>
    <w:rsid w:val="00020E0D"/>
    <w:rsid w:val="0002564D"/>
    <w:rsid w:val="00025ECA"/>
    <w:rsid w:val="0002775F"/>
    <w:rsid w:val="00032140"/>
    <w:rsid w:val="000325B8"/>
    <w:rsid w:val="00034C15"/>
    <w:rsid w:val="00036793"/>
    <w:rsid w:val="00036BA1"/>
    <w:rsid w:val="00037ABB"/>
    <w:rsid w:val="00037D66"/>
    <w:rsid w:val="000422E2"/>
    <w:rsid w:val="00042F22"/>
    <w:rsid w:val="00042F89"/>
    <w:rsid w:val="000444EF"/>
    <w:rsid w:val="00050DC7"/>
    <w:rsid w:val="00052A07"/>
    <w:rsid w:val="000534E3"/>
    <w:rsid w:val="0005606A"/>
    <w:rsid w:val="00057117"/>
    <w:rsid w:val="00057C41"/>
    <w:rsid w:val="000616E7"/>
    <w:rsid w:val="00062F02"/>
    <w:rsid w:val="0006487E"/>
    <w:rsid w:val="00065E1A"/>
    <w:rsid w:val="00071BC0"/>
    <w:rsid w:val="00077E5F"/>
    <w:rsid w:val="0008036A"/>
    <w:rsid w:val="00081AE6"/>
    <w:rsid w:val="00081F00"/>
    <w:rsid w:val="000835DF"/>
    <w:rsid w:val="000855EB"/>
    <w:rsid w:val="00085B52"/>
    <w:rsid w:val="000866F2"/>
    <w:rsid w:val="0009009F"/>
    <w:rsid w:val="000900DB"/>
    <w:rsid w:val="00091557"/>
    <w:rsid w:val="00091E6D"/>
    <w:rsid w:val="000924C1"/>
    <w:rsid w:val="000924F0"/>
    <w:rsid w:val="00093474"/>
    <w:rsid w:val="00093E83"/>
    <w:rsid w:val="0009510F"/>
    <w:rsid w:val="000978B6"/>
    <w:rsid w:val="000A07E9"/>
    <w:rsid w:val="000A1B7B"/>
    <w:rsid w:val="000A56F2"/>
    <w:rsid w:val="000B0D94"/>
    <w:rsid w:val="000B2719"/>
    <w:rsid w:val="000B3A8F"/>
    <w:rsid w:val="000B4AB9"/>
    <w:rsid w:val="000B58C3"/>
    <w:rsid w:val="000B61E9"/>
    <w:rsid w:val="000B78D1"/>
    <w:rsid w:val="000C0BF0"/>
    <w:rsid w:val="000C165A"/>
    <w:rsid w:val="000C2E19"/>
    <w:rsid w:val="000C5E64"/>
    <w:rsid w:val="000C7D2B"/>
    <w:rsid w:val="000D0D07"/>
    <w:rsid w:val="000D4797"/>
    <w:rsid w:val="000E0527"/>
    <w:rsid w:val="000E19B1"/>
    <w:rsid w:val="000E1E92"/>
    <w:rsid w:val="000E4F37"/>
    <w:rsid w:val="000E5EBB"/>
    <w:rsid w:val="000E7412"/>
    <w:rsid w:val="000F06D6"/>
    <w:rsid w:val="000F0EB1"/>
    <w:rsid w:val="000F1106"/>
    <w:rsid w:val="000F1CBD"/>
    <w:rsid w:val="000F3BE9"/>
    <w:rsid w:val="000F3F6C"/>
    <w:rsid w:val="000F4DB4"/>
    <w:rsid w:val="000F4E74"/>
    <w:rsid w:val="000F518D"/>
    <w:rsid w:val="000F555A"/>
    <w:rsid w:val="000F6DF3"/>
    <w:rsid w:val="000F74A2"/>
    <w:rsid w:val="001005FF"/>
    <w:rsid w:val="00105621"/>
    <w:rsid w:val="001062FB"/>
    <w:rsid w:val="001063E6"/>
    <w:rsid w:val="001068A8"/>
    <w:rsid w:val="00111ECF"/>
    <w:rsid w:val="00113CF4"/>
    <w:rsid w:val="001153EA"/>
    <w:rsid w:val="00115643"/>
    <w:rsid w:val="00116765"/>
    <w:rsid w:val="001219F5"/>
    <w:rsid w:val="00121A20"/>
    <w:rsid w:val="0012377F"/>
    <w:rsid w:val="00124314"/>
    <w:rsid w:val="00124C73"/>
    <w:rsid w:val="00126B4A"/>
    <w:rsid w:val="00132FD0"/>
    <w:rsid w:val="00133C5B"/>
    <w:rsid w:val="001340AA"/>
    <w:rsid w:val="001344C0"/>
    <w:rsid w:val="001346FA"/>
    <w:rsid w:val="00135252"/>
    <w:rsid w:val="00137A94"/>
    <w:rsid w:val="00137AB5"/>
    <w:rsid w:val="00137F0B"/>
    <w:rsid w:val="00144FDE"/>
    <w:rsid w:val="001473C7"/>
    <w:rsid w:val="0015118A"/>
    <w:rsid w:val="00151E23"/>
    <w:rsid w:val="001526E0"/>
    <w:rsid w:val="0015466A"/>
    <w:rsid w:val="00154C1C"/>
    <w:rsid w:val="001551B5"/>
    <w:rsid w:val="00155E8A"/>
    <w:rsid w:val="00156978"/>
    <w:rsid w:val="001577D0"/>
    <w:rsid w:val="001659C1"/>
    <w:rsid w:val="00166F32"/>
    <w:rsid w:val="00173A8E"/>
    <w:rsid w:val="0017502C"/>
    <w:rsid w:val="00181193"/>
    <w:rsid w:val="0018143F"/>
    <w:rsid w:val="00181FF8"/>
    <w:rsid w:val="00190523"/>
    <w:rsid w:val="001909E1"/>
    <w:rsid w:val="00190AC1"/>
    <w:rsid w:val="00190D59"/>
    <w:rsid w:val="0019341A"/>
    <w:rsid w:val="00197DF9"/>
    <w:rsid w:val="001A18E5"/>
    <w:rsid w:val="001A1987"/>
    <w:rsid w:val="001A1AD5"/>
    <w:rsid w:val="001A2564"/>
    <w:rsid w:val="001A6173"/>
    <w:rsid w:val="001A6CBA"/>
    <w:rsid w:val="001B0D97"/>
    <w:rsid w:val="001B577C"/>
    <w:rsid w:val="001B5A5D"/>
    <w:rsid w:val="001B7C44"/>
    <w:rsid w:val="001C1CE5"/>
    <w:rsid w:val="001C3D02"/>
    <w:rsid w:val="001C3D2A"/>
    <w:rsid w:val="001D0734"/>
    <w:rsid w:val="001D51BA"/>
    <w:rsid w:val="001D53E7"/>
    <w:rsid w:val="001D6342"/>
    <w:rsid w:val="001D6D53"/>
    <w:rsid w:val="001D6F69"/>
    <w:rsid w:val="001D7AB6"/>
    <w:rsid w:val="001E58E2"/>
    <w:rsid w:val="001E7371"/>
    <w:rsid w:val="001E7885"/>
    <w:rsid w:val="001E7AED"/>
    <w:rsid w:val="001F3916"/>
    <w:rsid w:val="001F54C5"/>
    <w:rsid w:val="001F662C"/>
    <w:rsid w:val="001F7074"/>
    <w:rsid w:val="00200490"/>
    <w:rsid w:val="00200859"/>
    <w:rsid w:val="00201F3A"/>
    <w:rsid w:val="0020274D"/>
    <w:rsid w:val="00202BD4"/>
    <w:rsid w:val="00203F96"/>
    <w:rsid w:val="0020446A"/>
    <w:rsid w:val="00205B89"/>
    <w:rsid w:val="002069B2"/>
    <w:rsid w:val="00206F47"/>
    <w:rsid w:val="00207FA3"/>
    <w:rsid w:val="00214DA8"/>
    <w:rsid w:val="002153E7"/>
    <w:rsid w:val="00215423"/>
    <w:rsid w:val="002158FA"/>
    <w:rsid w:val="002202DA"/>
    <w:rsid w:val="00220600"/>
    <w:rsid w:val="00222128"/>
    <w:rsid w:val="002224DB"/>
    <w:rsid w:val="00223FCB"/>
    <w:rsid w:val="002252C3"/>
    <w:rsid w:val="00225C54"/>
    <w:rsid w:val="00230765"/>
    <w:rsid w:val="00230D18"/>
    <w:rsid w:val="002319E4"/>
    <w:rsid w:val="002320D4"/>
    <w:rsid w:val="0023329A"/>
    <w:rsid w:val="00235632"/>
    <w:rsid w:val="00235872"/>
    <w:rsid w:val="00241559"/>
    <w:rsid w:val="002435B3"/>
    <w:rsid w:val="00244710"/>
    <w:rsid w:val="00244E95"/>
    <w:rsid w:val="002458EB"/>
    <w:rsid w:val="002500C8"/>
    <w:rsid w:val="00251152"/>
    <w:rsid w:val="0025179B"/>
    <w:rsid w:val="00252AFB"/>
    <w:rsid w:val="00252D62"/>
    <w:rsid w:val="00257543"/>
    <w:rsid w:val="0026009F"/>
    <w:rsid w:val="002617E7"/>
    <w:rsid w:val="00264228"/>
    <w:rsid w:val="00264334"/>
    <w:rsid w:val="0026473E"/>
    <w:rsid w:val="0026588B"/>
    <w:rsid w:val="00266214"/>
    <w:rsid w:val="00267C83"/>
    <w:rsid w:val="0027144F"/>
    <w:rsid w:val="00271813"/>
    <w:rsid w:val="00271F3A"/>
    <w:rsid w:val="00273278"/>
    <w:rsid w:val="002737F4"/>
    <w:rsid w:val="00274654"/>
    <w:rsid w:val="00276D82"/>
    <w:rsid w:val="00277DE2"/>
    <w:rsid w:val="002805F5"/>
    <w:rsid w:val="00280751"/>
    <w:rsid w:val="002808C1"/>
    <w:rsid w:val="0028280A"/>
    <w:rsid w:val="002831B5"/>
    <w:rsid w:val="002835BE"/>
    <w:rsid w:val="00284E46"/>
    <w:rsid w:val="00286ACD"/>
    <w:rsid w:val="00287838"/>
    <w:rsid w:val="002907B5"/>
    <w:rsid w:val="002912CB"/>
    <w:rsid w:val="002915C5"/>
    <w:rsid w:val="00292EB7"/>
    <w:rsid w:val="00296227"/>
    <w:rsid w:val="00296F44"/>
    <w:rsid w:val="0029777D"/>
    <w:rsid w:val="002A055E"/>
    <w:rsid w:val="002A1D4E"/>
    <w:rsid w:val="002A2869"/>
    <w:rsid w:val="002A513F"/>
    <w:rsid w:val="002A7362"/>
    <w:rsid w:val="002B0A1F"/>
    <w:rsid w:val="002B24AE"/>
    <w:rsid w:val="002B24D6"/>
    <w:rsid w:val="002B4BD7"/>
    <w:rsid w:val="002B50AB"/>
    <w:rsid w:val="002C19A0"/>
    <w:rsid w:val="002C41E6"/>
    <w:rsid w:val="002C76CE"/>
    <w:rsid w:val="002D071A"/>
    <w:rsid w:val="002D12A0"/>
    <w:rsid w:val="002D3212"/>
    <w:rsid w:val="002D34B2"/>
    <w:rsid w:val="002D48B0"/>
    <w:rsid w:val="002D5B37"/>
    <w:rsid w:val="002D7223"/>
    <w:rsid w:val="002D7637"/>
    <w:rsid w:val="002E17F2"/>
    <w:rsid w:val="002E1F75"/>
    <w:rsid w:val="002E2BF6"/>
    <w:rsid w:val="002E6640"/>
    <w:rsid w:val="002E7CAE"/>
    <w:rsid w:val="002F2771"/>
    <w:rsid w:val="002F37A9"/>
    <w:rsid w:val="00300D42"/>
    <w:rsid w:val="00301CE6"/>
    <w:rsid w:val="0030256B"/>
    <w:rsid w:val="00303C6E"/>
    <w:rsid w:val="003046D6"/>
    <w:rsid w:val="0030501F"/>
    <w:rsid w:val="00306BFE"/>
    <w:rsid w:val="003074F5"/>
    <w:rsid w:val="00307BA1"/>
    <w:rsid w:val="00311702"/>
    <w:rsid w:val="00311E82"/>
    <w:rsid w:val="00313FD6"/>
    <w:rsid w:val="003143BD"/>
    <w:rsid w:val="00315363"/>
    <w:rsid w:val="003203ED"/>
    <w:rsid w:val="00321830"/>
    <w:rsid w:val="00322AEB"/>
    <w:rsid w:val="00322C9F"/>
    <w:rsid w:val="003240B0"/>
    <w:rsid w:val="00324D23"/>
    <w:rsid w:val="00331751"/>
    <w:rsid w:val="00334579"/>
    <w:rsid w:val="00335858"/>
    <w:rsid w:val="003362CB"/>
    <w:rsid w:val="00336BDA"/>
    <w:rsid w:val="00340081"/>
    <w:rsid w:val="003428BD"/>
    <w:rsid w:val="00342BD7"/>
    <w:rsid w:val="0034471E"/>
    <w:rsid w:val="00346DB5"/>
    <w:rsid w:val="003477B1"/>
    <w:rsid w:val="00350719"/>
    <w:rsid w:val="00357380"/>
    <w:rsid w:val="003602D9"/>
    <w:rsid w:val="003604CE"/>
    <w:rsid w:val="00364AAC"/>
    <w:rsid w:val="003663CF"/>
    <w:rsid w:val="00370894"/>
    <w:rsid w:val="00370E47"/>
    <w:rsid w:val="003742AC"/>
    <w:rsid w:val="00377CE1"/>
    <w:rsid w:val="00381F41"/>
    <w:rsid w:val="00383A5D"/>
    <w:rsid w:val="0038457A"/>
    <w:rsid w:val="00385BF0"/>
    <w:rsid w:val="003868EA"/>
    <w:rsid w:val="00391B09"/>
    <w:rsid w:val="003939FF"/>
    <w:rsid w:val="003946C6"/>
    <w:rsid w:val="003946C9"/>
    <w:rsid w:val="003949D5"/>
    <w:rsid w:val="0039517E"/>
    <w:rsid w:val="003A2223"/>
    <w:rsid w:val="003A2A0F"/>
    <w:rsid w:val="003A45A1"/>
    <w:rsid w:val="003A5B0A"/>
    <w:rsid w:val="003A6BAC"/>
    <w:rsid w:val="003A70A4"/>
    <w:rsid w:val="003A7EF3"/>
    <w:rsid w:val="003B0025"/>
    <w:rsid w:val="003B159C"/>
    <w:rsid w:val="003B369F"/>
    <w:rsid w:val="003B36A3"/>
    <w:rsid w:val="003B64BB"/>
    <w:rsid w:val="003B7FE5"/>
    <w:rsid w:val="003C11C8"/>
    <w:rsid w:val="003C1B26"/>
    <w:rsid w:val="003C2702"/>
    <w:rsid w:val="003C30E1"/>
    <w:rsid w:val="003C51D9"/>
    <w:rsid w:val="003C6A28"/>
    <w:rsid w:val="003C7806"/>
    <w:rsid w:val="003D109F"/>
    <w:rsid w:val="003D2478"/>
    <w:rsid w:val="003D3C45"/>
    <w:rsid w:val="003D5B1F"/>
    <w:rsid w:val="003E0BD7"/>
    <w:rsid w:val="003E15FA"/>
    <w:rsid w:val="003E37B6"/>
    <w:rsid w:val="003E55E4"/>
    <w:rsid w:val="003E74E3"/>
    <w:rsid w:val="003F0430"/>
    <w:rsid w:val="003F05C7"/>
    <w:rsid w:val="003F154B"/>
    <w:rsid w:val="003F2937"/>
    <w:rsid w:val="003F2CD4"/>
    <w:rsid w:val="003F4727"/>
    <w:rsid w:val="003F6BBE"/>
    <w:rsid w:val="004000E8"/>
    <w:rsid w:val="004001B6"/>
    <w:rsid w:val="00402E2B"/>
    <w:rsid w:val="0040512B"/>
    <w:rsid w:val="00405CA5"/>
    <w:rsid w:val="00407CD3"/>
    <w:rsid w:val="00410134"/>
    <w:rsid w:val="00410B72"/>
    <w:rsid w:val="00410F18"/>
    <w:rsid w:val="0041263E"/>
    <w:rsid w:val="00413AAC"/>
    <w:rsid w:val="00413E92"/>
    <w:rsid w:val="00414F6A"/>
    <w:rsid w:val="00415A0D"/>
    <w:rsid w:val="00420714"/>
    <w:rsid w:val="00421105"/>
    <w:rsid w:val="00422AA4"/>
    <w:rsid w:val="00423340"/>
    <w:rsid w:val="004242F4"/>
    <w:rsid w:val="00425BAE"/>
    <w:rsid w:val="004262B8"/>
    <w:rsid w:val="00427248"/>
    <w:rsid w:val="004321CD"/>
    <w:rsid w:val="00433FD0"/>
    <w:rsid w:val="00435ABC"/>
    <w:rsid w:val="00436A2A"/>
    <w:rsid w:val="00437447"/>
    <w:rsid w:val="00440609"/>
    <w:rsid w:val="00441A92"/>
    <w:rsid w:val="004431DC"/>
    <w:rsid w:val="004447B9"/>
    <w:rsid w:val="00444B4D"/>
    <w:rsid w:val="00444F56"/>
    <w:rsid w:val="00446488"/>
    <w:rsid w:val="00447623"/>
    <w:rsid w:val="004517AA"/>
    <w:rsid w:val="00452CAC"/>
    <w:rsid w:val="00452D7E"/>
    <w:rsid w:val="00455F35"/>
    <w:rsid w:val="00457565"/>
    <w:rsid w:val="00457B71"/>
    <w:rsid w:val="00457C36"/>
    <w:rsid w:val="00461D3B"/>
    <w:rsid w:val="00462AE2"/>
    <w:rsid w:val="004651EF"/>
    <w:rsid w:val="00466639"/>
    <w:rsid w:val="004669E2"/>
    <w:rsid w:val="00470C31"/>
    <w:rsid w:val="004711D9"/>
    <w:rsid w:val="00471B2A"/>
    <w:rsid w:val="00471DE0"/>
    <w:rsid w:val="004734D0"/>
    <w:rsid w:val="0047556B"/>
    <w:rsid w:val="00477768"/>
    <w:rsid w:val="0049178E"/>
    <w:rsid w:val="00492BC5"/>
    <w:rsid w:val="004964F1"/>
    <w:rsid w:val="00497049"/>
    <w:rsid w:val="00497595"/>
    <w:rsid w:val="004A16BC"/>
    <w:rsid w:val="004A22F4"/>
    <w:rsid w:val="004A2B94"/>
    <w:rsid w:val="004B03FF"/>
    <w:rsid w:val="004B6D08"/>
    <w:rsid w:val="004B6F6A"/>
    <w:rsid w:val="004B7C0C"/>
    <w:rsid w:val="004C3898"/>
    <w:rsid w:val="004C5777"/>
    <w:rsid w:val="004D2C8F"/>
    <w:rsid w:val="004D36B1"/>
    <w:rsid w:val="004D7546"/>
    <w:rsid w:val="004D7EBD"/>
    <w:rsid w:val="004E23B3"/>
    <w:rsid w:val="004E2680"/>
    <w:rsid w:val="004E28F9"/>
    <w:rsid w:val="004E462E"/>
    <w:rsid w:val="004E4B1C"/>
    <w:rsid w:val="004E56DC"/>
    <w:rsid w:val="004E76F4"/>
    <w:rsid w:val="004F0B4E"/>
    <w:rsid w:val="004F0B6C"/>
    <w:rsid w:val="004F1D04"/>
    <w:rsid w:val="004F2078"/>
    <w:rsid w:val="004F3F6E"/>
    <w:rsid w:val="004F4DA3"/>
    <w:rsid w:val="00500C63"/>
    <w:rsid w:val="00501823"/>
    <w:rsid w:val="0050381E"/>
    <w:rsid w:val="005063FA"/>
    <w:rsid w:val="00506557"/>
    <w:rsid w:val="0050677A"/>
    <w:rsid w:val="0050678A"/>
    <w:rsid w:val="005073FD"/>
    <w:rsid w:val="005108D8"/>
    <w:rsid w:val="005116F9"/>
    <w:rsid w:val="005130D5"/>
    <w:rsid w:val="005153A7"/>
    <w:rsid w:val="005219CF"/>
    <w:rsid w:val="0052305F"/>
    <w:rsid w:val="00531C9B"/>
    <w:rsid w:val="00534B59"/>
    <w:rsid w:val="005355E3"/>
    <w:rsid w:val="00536759"/>
    <w:rsid w:val="00537C62"/>
    <w:rsid w:val="00541B1F"/>
    <w:rsid w:val="005462F9"/>
    <w:rsid w:val="00546970"/>
    <w:rsid w:val="0055198C"/>
    <w:rsid w:val="005533A0"/>
    <w:rsid w:val="00554E19"/>
    <w:rsid w:val="0056121F"/>
    <w:rsid w:val="00562F43"/>
    <w:rsid w:val="00565509"/>
    <w:rsid w:val="00572505"/>
    <w:rsid w:val="00572719"/>
    <w:rsid w:val="00575A8D"/>
    <w:rsid w:val="00582809"/>
    <w:rsid w:val="00583F12"/>
    <w:rsid w:val="00585C44"/>
    <w:rsid w:val="0058798C"/>
    <w:rsid w:val="005900FA"/>
    <w:rsid w:val="005935A4"/>
    <w:rsid w:val="005948C2"/>
    <w:rsid w:val="00595DCA"/>
    <w:rsid w:val="00596391"/>
    <w:rsid w:val="0059779B"/>
    <w:rsid w:val="00597F27"/>
    <w:rsid w:val="005A062D"/>
    <w:rsid w:val="005A209A"/>
    <w:rsid w:val="005A662D"/>
    <w:rsid w:val="005B1409"/>
    <w:rsid w:val="005B35D7"/>
    <w:rsid w:val="005B392A"/>
    <w:rsid w:val="005B3AA3"/>
    <w:rsid w:val="005B658F"/>
    <w:rsid w:val="005B67BA"/>
    <w:rsid w:val="005B6F83"/>
    <w:rsid w:val="005B7233"/>
    <w:rsid w:val="005C0F27"/>
    <w:rsid w:val="005C74FB"/>
    <w:rsid w:val="005D1602"/>
    <w:rsid w:val="005D715F"/>
    <w:rsid w:val="005E385F"/>
    <w:rsid w:val="005E5B22"/>
    <w:rsid w:val="005E5B81"/>
    <w:rsid w:val="005F123F"/>
    <w:rsid w:val="005F18F8"/>
    <w:rsid w:val="005F2CB1"/>
    <w:rsid w:val="005F3025"/>
    <w:rsid w:val="005F618C"/>
    <w:rsid w:val="005F70BD"/>
    <w:rsid w:val="006025B6"/>
    <w:rsid w:val="0060283C"/>
    <w:rsid w:val="00604F14"/>
    <w:rsid w:val="006058B2"/>
    <w:rsid w:val="00611B83"/>
    <w:rsid w:val="00613257"/>
    <w:rsid w:val="00614383"/>
    <w:rsid w:val="0062004E"/>
    <w:rsid w:val="00620A71"/>
    <w:rsid w:val="00620D80"/>
    <w:rsid w:val="006234A6"/>
    <w:rsid w:val="00624614"/>
    <w:rsid w:val="00630001"/>
    <w:rsid w:val="006311B3"/>
    <w:rsid w:val="00631D03"/>
    <w:rsid w:val="0063284C"/>
    <w:rsid w:val="00633167"/>
    <w:rsid w:val="00633F72"/>
    <w:rsid w:val="00636398"/>
    <w:rsid w:val="006368D3"/>
    <w:rsid w:val="006368FA"/>
    <w:rsid w:val="006377EC"/>
    <w:rsid w:val="0064151F"/>
    <w:rsid w:val="00641533"/>
    <w:rsid w:val="0064208D"/>
    <w:rsid w:val="00643475"/>
    <w:rsid w:val="0064396A"/>
    <w:rsid w:val="00644083"/>
    <w:rsid w:val="0064624E"/>
    <w:rsid w:val="00650AB9"/>
    <w:rsid w:val="00655733"/>
    <w:rsid w:val="00655ACD"/>
    <w:rsid w:val="006567BB"/>
    <w:rsid w:val="00656A92"/>
    <w:rsid w:val="00656DDE"/>
    <w:rsid w:val="0066011D"/>
    <w:rsid w:val="006607C0"/>
    <w:rsid w:val="00661386"/>
    <w:rsid w:val="006613A6"/>
    <w:rsid w:val="00661B91"/>
    <w:rsid w:val="006627A2"/>
    <w:rsid w:val="006629F8"/>
    <w:rsid w:val="006634E6"/>
    <w:rsid w:val="00664363"/>
    <w:rsid w:val="00664A87"/>
    <w:rsid w:val="006655EE"/>
    <w:rsid w:val="00667599"/>
    <w:rsid w:val="00667EE7"/>
    <w:rsid w:val="00667F91"/>
    <w:rsid w:val="00670922"/>
    <w:rsid w:val="00670BE1"/>
    <w:rsid w:val="00670FB3"/>
    <w:rsid w:val="0067218F"/>
    <w:rsid w:val="00672A7E"/>
    <w:rsid w:val="0067371E"/>
    <w:rsid w:val="006739B3"/>
    <w:rsid w:val="0067418C"/>
    <w:rsid w:val="006741F2"/>
    <w:rsid w:val="0067434D"/>
    <w:rsid w:val="00674CC3"/>
    <w:rsid w:val="00675C72"/>
    <w:rsid w:val="006771F9"/>
    <w:rsid w:val="006776D7"/>
    <w:rsid w:val="00681003"/>
    <w:rsid w:val="006817C9"/>
    <w:rsid w:val="00683ECE"/>
    <w:rsid w:val="00695FC2"/>
    <w:rsid w:val="0069664E"/>
    <w:rsid w:val="00696949"/>
    <w:rsid w:val="00697052"/>
    <w:rsid w:val="006A40EC"/>
    <w:rsid w:val="006A46FB"/>
    <w:rsid w:val="006A5226"/>
    <w:rsid w:val="006A5E28"/>
    <w:rsid w:val="006A697B"/>
    <w:rsid w:val="006A723D"/>
    <w:rsid w:val="006A7AFF"/>
    <w:rsid w:val="006B1816"/>
    <w:rsid w:val="006B2099"/>
    <w:rsid w:val="006B50CF"/>
    <w:rsid w:val="006C03B8"/>
    <w:rsid w:val="006C3CAD"/>
    <w:rsid w:val="006C5EC9"/>
    <w:rsid w:val="006C6059"/>
    <w:rsid w:val="006C7522"/>
    <w:rsid w:val="006D0B38"/>
    <w:rsid w:val="006D3C74"/>
    <w:rsid w:val="006D6F08"/>
    <w:rsid w:val="006D71BC"/>
    <w:rsid w:val="006E062C"/>
    <w:rsid w:val="006E1387"/>
    <w:rsid w:val="006E1C82"/>
    <w:rsid w:val="006E2630"/>
    <w:rsid w:val="006E282C"/>
    <w:rsid w:val="006E28B7"/>
    <w:rsid w:val="006E2A9B"/>
    <w:rsid w:val="006E2ADF"/>
    <w:rsid w:val="006E3310"/>
    <w:rsid w:val="006E4E39"/>
    <w:rsid w:val="006E565E"/>
    <w:rsid w:val="006E673D"/>
    <w:rsid w:val="006E7D3B"/>
    <w:rsid w:val="006F0E3F"/>
    <w:rsid w:val="006F120F"/>
    <w:rsid w:val="006F19BA"/>
    <w:rsid w:val="006F1B70"/>
    <w:rsid w:val="006F1E17"/>
    <w:rsid w:val="006F341D"/>
    <w:rsid w:val="006F3CDE"/>
    <w:rsid w:val="006F40A5"/>
    <w:rsid w:val="006F56F5"/>
    <w:rsid w:val="006F58D4"/>
    <w:rsid w:val="006F6582"/>
    <w:rsid w:val="006F6F10"/>
    <w:rsid w:val="006F711F"/>
    <w:rsid w:val="00701B10"/>
    <w:rsid w:val="0070346E"/>
    <w:rsid w:val="00704EDB"/>
    <w:rsid w:val="00705A7E"/>
    <w:rsid w:val="00706101"/>
    <w:rsid w:val="00706F7F"/>
    <w:rsid w:val="00707072"/>
    <w:rsid w:val="00707D61"/>
    <w:rsid w:val="00710257"/>
    <w:rsid w:val="00711943"/>
    <w:rsid w:val="00712287"/>
    <w:rsid w:val="00712772"/>
    <w:rsid w:val="007133F6"/>
    <w:rsid w:val="007148D3"/>
    <w:rsid w:val="00715B9A"/>
    <w:rsid w:val="00715D70"/>
    <w:rsid w:val="0072109F"/>
    <w:rsid w:val="0072499D"/>
    <w:rsid w:val="007257D0"/>
    <w:rsid w:val="00726CDD"/>
    <w:rsid w:val="00726EA6"/>
    <w:rsid w:val="00727208"/>
    <w:rsid w:val="00727680"/>
    <w:rsid w:val="007348B1"/>
    <w:rsid w:val="007362A6"/>
    <w:rsid w:val="00736D7D"/>
    <w:rsid w:val="0074021D"/>
    <w:rsid w:val="00740E58"/>
    <w:rsid w:val="007445A0"/>
    <w:rsid w:val="0074524B"/>
    <w:rsid w:val="00745C29"/>
    <w:rsid w:val="00747D8B"/>
    <w:rsid w:val="00751228"/>
    <w:rsid w:val="00752CD8"/>
    <w:rsid w:val="00753091"/>
    <w:rsid w:val="007571E1"/>
    <w:rsid w:val="007572F6"/>
    <w:rsid w:val="007604B2"/>
    <w:rsid w:val="00763EF3"/>
    <w:rsid w:val="00765281"/>
    <w:rsid w:val="00765809"/>
    <w:rsid w:val="00766BAD"/>
    <w:rsid w:val="007673DD"/>
    <w:rsid w:val="007729A2"/>
    <w:rsid w:val="00773236"/>
    <w:rsid w:val="0077390D"/>
    <w:rsid w:val="007755F2"/>
    <w:rsid w:val="00776971"/>
    <w:rsid w:val="00780A80"/>
    <w:rsid w:val="0078177E"/>
    <w:rsid w:val="0078304C"/>
    <w:rsid w:val="007831EF"/>
    <w:rsid w:val="00783673"/>
    <w:rsid w:val="0078511B"/>
    <w:rsid w:val="00785490"/>
    <w:rsid w:val="0079158B"/>
    <w:rsid w:val="0079259B"/>
    <w:rsid w:val="007925EA"/>
    <w:rsid w:val="00793CD8"/>
    <w:rsid w:val="00795C92"/>
    <w:rsid w:val="00796231"/>
    <w:rsid w:val="00797D3B"/>
    <w:rsid w:val="007A1CB3"/>
    <w:rsid w:val="007A2949"/>
    <w:rsid w:val="007A3052"/>
    <w:rsid w:val="007A306F"/>
    <w:rsid w:val="007A3BC6"/>
    <w:rsid w:val="007A43A6"/>
    <w:rsid w:val="007A509E"/>
    <w:rsid w:val="007A58A6"/>
    <w:rsid w:val="007B3D2D"/>
    <w:rsid w:val="007B50AE"/>
    <w:rsid w:val="007B51DF"/>
    <w:rsid w:val="007C01F1"/>
    <w:rsid w:val="007C05DD"/>
    <w:rsid w:val="007C2392"/>
    <w:rsid w:val="007C3D18"/>
    <w:rsid w:val="007C60BF"/>
    <w:rsid w:val="007C6A07"/>
    <w:rsid w:val="007C75A1"/>
    <w:rsid w:val="007C77A5"/>
    <w:rsid w:val="007D04E5"/>
    <w:rsid w:val="007D0BA9"/>
    <w:rsid w:val="007D4B8A"/>
    <w:rsid w:val="007D5901"/>
    <w:rsid w:val="007D7526"/>
    <w:rsid w:val="007D76BD"/>
    <w:rsid w:val="007E08CE"/>
    <w:rsid w:val="007E3ACF"/>
    <w:rsid w:val="007E4610"/>
    <w:rsid w:val="007E4715"/>
    <w:rsid w:val="007E505B"/>
    <w:rsid w:val="007E6F7C"/>
    <w:rsid w:val="007E7091"/>
    <w:rsid w:val="007F05E9"/>
    <w:rsid w:val="007F2C5C"/>
    <w:rsid w:val="007F5A0B"/>
    <w:rsid w:val="007F71C2"/>
    <w:rsid w:val="007F7262"/>
    <w:rsid w:val="007F7C43"/>
    <w:rsid w:val="0080122F"/>
    <w:rsid w:val="00801488"/>
    <w:rsid w:val="00801CA8"/>
    <w:rsid w:val="00801CBA"/>
    <w:rsid w:val="00803FAE"/>
    <w:rsid w:val="0080605F"/>
    <w:rsid w:val="008068DE"/>
    <w:rsid w:val="008072A6"/>
    <w:rsid w:val="00807786"/>
    <w:rsid w:val="00807E9B"/>
    <w:rsid w:val="00811FCB"/>
    <w:rsid w:val="00814C04"/>
    <w:rsid w:val="008158D6"/>
    <w:rsid w:val="00817196"/>
    <w:rsid w:val="00817848"/>
    <w:rsid w:val="008215F7"/>
    <w:rsid w:val="00823508"/>
    <w:rsid w:val="008235DB"/>
    <w:rsid w:val="00824AB4"/>
    <w:rsid w:val="00825C42"/>
    <w:rsid w:val="00825D25"/>
    <w:rsid w:val="00827D6F"/>
    <w:rsid w:val="0083445E"/>
    <w:rsid w:val="008376AC"/>
    <w:rsid w:val="00841F95"/>
    <w:rsid w:val="0084376A"/>
    <w:rsid w:val="008444E8"/>
    <w:rsid w:val="00844E80"/>
    <w:rsid w:val="0084585A"/>
    <w:rsid w:val="00846559"/>
    <w:rsid w:val="00846FE7"/>
    <w:rsid w:val="008540A3"/>
    <w:rsid w:val="00856911"/>
    <w:rsid w:val="00861124"/>
    <w:rsid w:val="008615B6"/>
    <w:rsid w:val="00867402"/>
    <w:rsid w:val="008677FD"/>
    <w:rsid w:val="008706D4"/>
    <w:rsid w:val="00870F8A"/>
    <w:rsid w:val="008719A4"/>
    <w:rsid w:val="00871D23"/>
    <w:rsid w:val="00874312"/>
    <w:rsid w:val="0087437C"/>
    <w:rsid w:val="008755E4"/>
    <w:rsid w:val="00875CD7"/>
    <w:rsid w:val="0087660A"/>
    <w:rsid w:val="00876B4D"/>
    <w:rsid w:val="00876C60"/>
    <w:rsid w:val="00877F18"/>
    <w:rsid w:val="00880EF4"/>
    <w:rsid w:val="00881040"/>
    <w:rsid w:val="00882915"/>
    <w:rsid w:val="00884752"/>
    <w:rsid w:val="008917B8"/>
    <w:rsid w:val="00893A91"/>
    <w:rsid w:val="008941E3"/>
    <w:rsid w:val="00894A88"/>
    <w:rsid w:val="00895386"/>
    <w:rsid w:val="00895E79"/>
    <w:rsid w:val="008A062D"/>
    <w:rsid w:val="008A21FF"/>
    <w:rsid w:val="008A2CE2"/>
    <w:rsid w:val="008A30AC"/>
    <w:rsid w:val="008A44B8"/>
    <w:rsid w:val="008A51A8"/>
    <w:rsid w:val="008A54C7"/>
    <w:rsid w:val="008A5825"/>
    <w:rsid w:val="008A77D8"/>
    <w:rsid w:val="008B0483"/>
    <w:rsid w:val="008B120C"/>
    <w:rsid w:val="008B1A26"/>
    <w:rsid w:val="008B4EDC"/>
    <w:rsid w:val="008B51A0"/>
    <w:rsid w:val="008B592A"/>
    <w:rsid w:val="008B6F41"/>
    <w:rsid w:val="008B7B5C"/>
    <w:rsid w:val="008C0529"/>
    <w:rsid w:val="008C0C99"/>
    <w:rsid w:val="008C2017"/>
    <w:rsid w:val="008C4958"/>
    <w:rsid w:val="008C4BAA"/>
    <w:rsid w:val="008C6AE8"/>
    <w:rsid w:val="008C7573"/>
    <w:rsid w:val="008C798D"/>
    <w:rsid w:val="008D00A5"/>
    <w:rsid w:val="008D0145"/>
    <w:rsid w:val="008D02AE"/>
    <w:rsid w:val="008D1575"/>
    <w:rsid w:val="008D34F1"/>
    <w:rsid w:val="008D39D8"/>
    <w:rsid w:val="008D4A25"/>
    <w:rsid w:val="008D6D1A"/>
    <w:rsid w:val="008D7E43"/>
    <w:rsid w:val="008E065E"/>
    <w:rsid w:val="008E0927"/>
    <w:rsid w:val="008E1909"/>
    <w:rsid w:val="008E23CA"/>
    <w:rsid w:val="008E4888"/>
    <w:rsid w:val="008E55CE"/>
    <w:rsid w:val="008F1C4E"/>
    <w:rsid w:val="008F1EAB"/>
    <w:rsid w:val="008F31AC"/>
    <w:rsid w:val="008F33DC"/>
    <w:rsid w:val="008F477F"/>
    <w:rsid w:val="008F4D73"/>
    <w:rsid w:val="008F6B82"/>
    <w:rsid w:val="00902350"/>
    <w:rsid w:val="0090336B"/>
    <w:rsid w:val="009053AA"/>
    <w:rsid w:val="00905F70"/>
    <w:rsid w:val="0090680C"/>
    <w:rsid w:val="00906939"/>
    <w:rsid w:val="00910B7D"/>
    <w:rsid w:val="00911414"/>
    <w:rsid w:val="00911DFB"/>
    <w:rsid w:val="009139D9"/>
    <w:rsid w:val="00914AD8"/>
    <w:rsid w:val="00916079"/>
    <w:rsid w:val="00917CE9"/>
    <w:rsid w:val="00920BF2"/>
    <w:rsid w:val="00922010"/>
    <w:rsid w:val="00922058"/>
    <w:rsid w:val="00925A85"/>
    <w:rsid w:val="00930C46"/>
    <w:rsid w:val="00931BD9"/>
    <w:rsid w:val="00934088"/>
    <w:rsid w:val="00934403"/>
    <w:rsid w:val="009353FF"/>
    <w:rsid w:val="009368F3"/>
    <w:rsid w:val="00937C85"/>
    <w:rsid w:val="00941636"/>
    <w:rsid w:val="00941F04"/>
    <w:rsid w:val="00942303"/>
    <w:rsid w:val="00943742"/>
    <w:rsid w:val="009443EF"/>
    <w:rsid w:val="00945C05"/>
    <w:rsid w:val="00946945"/>
    <w:rsid w:val="00947713"/>
    <w:rsid w:val="00950241"/>
    <w:rsid w:val="00950DE7"/>
    <w:rsid w:val="0095271E"/>
    <w:rsid w:val="00953920"/>
    <w:rsid w:val="00953D47"/>
    <w:rsid w:val="00955D2C"/>
    <w:rsid w:val="0095681E"/>
    <w:rsid w:val="009572D4"/>
    <w:rsid w:val="00957F77"/>
    <w:rsid w:val="00961921"/>
    <w:rsid w:val="0096430A"/>
    <w:rsid w:val="0096554B"/>
    <w:rsid w:val="0096584A"/>
    <w:rsid w:val="00971F08"/>
    <w:rsid w:val="0097603D"/>
    <w:rsid w:val="00976949"/>
    <w:rsid w:val="00980477"/>
    <w:rsid w:val="0098462E"/>
    <w:rsid w:val="00984A01"/>
    <w:rsid w:val="00985253"/>
    <w:rsid w:val="009853B3"/>
    <w:rsid w:val="00990630"/>
    <w:rsid w:val="00991761"/>
    <w:rsid w:val="00993907"/>
    <w:rsid w:val="00993933"/>
    <w:rsid w:val="00994DCA"/>
    <w:rsid w:val="00994E35"/>
    <w:rsid w:val="00995163"/>
    <w:rsid w:val="009960EC"/>
    <w:rsid w:val="009969B0"/>
    <w:rsid w:val="009970DD"/>
    <w:rsid w:val="009976DB"/>
    <w:rsid w:val="009A07A2"/>
    <w:rsid w:val="009A0FBA"/>
    <w:rsid w:val="009A1601"/>
    <w:rsid w:val="009A3BB6"/>
    <w:rsid w:val="009A462D"/>
    <w:rsid w:val="009A5CBA"/>
    <w:rsid w:val="009A6E01"/>
    <w:rsid w:val="009B0DC4"/>
    <w:rsid w:val="009B1E2D"/>
    <w:rsid w:val="009B1F30"/>
    <w:rsid w:val="009B24EC"/>
    <w:rsid w:val="009B3AC2"/>
    <w:rsid w:val="009B4859"/>
    <w:rsid w:val="009B4D77"/>
    <w:rsid w:val="009B4DF4"/>
    <w:rsid w:val="009B564E"/>
    <w:rsid w:val="009B6EAF"/>
    <w:rsid w:val="009B7E87"/>
    <w:rsid w:val="009C0169"/>
    <w:rsid w:val="009C3CC5"/>
    <w:rsid w:val="009C403E"/>
    <w:rsid w:val="009C4CC3"/>
    <w:rsid w:val="009D1E96"/>
    <w:rsid w:val="009D4FF0"/>
    <w:rsid w:val="009D703C"/>
    <w:rsid w:val="009D718F"/>
    <w:rsid w:val="009E068F"/>
    <w:rsid w:val="009E14E0"/>
    <w:rsid w:val="009E35DB"/>
    <w:rsid w:val="009E3B28"/>
    <w:rsid w:val="009E4629"/>
    <w:rsid w:val="009E47A3"/>
    <w:rsid w:val="009E6BEF"/>
    <w:rsid w:val="009E7C83"/>
    <w:rsid w:val="009F08F3"/>
    <w:rsid w:val="009F21B6"/>
    <w:rsid w:val="009F344F"/>
    <w:rsid w:val="00A01651"/>
    <w:rsid w:val="00A031D8"/>
    <w:rsid w:val="00A048A8"/>
    <w:rsid w:val="00A04F49"/>
    <w:rsid w:val="00A05007"/>
    <w:rsid w:val="00A11969"/>
    <w:rsid w:val="00A13E54"/>
    <w:rsid w:val="00A174FC"/>
    <w:rsid w:val="00A17F63"/>
    <w:rsid w:val="00A2193B"/>
    <w:rsid w:val="00A2351A"/>
    <w:rsid w:val="00A24F93"/>
    <w:rsid w:val="00A25AE3"/>
    <w:rsid w:val="00A264A9"/>
    <w:rsid w:val="00A26B5F"/>
    <w:rsid w:val="00A26DCF"/>
    <w:rsid w:val="00A27349"/>
    <w:rsid w:val="00A27785"/>
    <w:rsid w:val="00A27E75"/>
    <w:rsid w:val="00A30187"/>
    <w:rsid w:val="00A31B5E"/>
    <w:rsid w:val="00A3448A"/>
    <w:rsid w:val="00A36297"/>
    <w:rsid w:val="00A41E2B"/>
    <w:rsid w:val="00A42156"/>
    <w:rsid w:val="00A434F2"/>
    <w:rsid w:val="00A45B74"/>
    <w:rsid w:val="00A46B4C"/>
    <w:rsid w:val="00A471E9"/>
    <w:rsid w:val="00A52E1D"/>
    <w:rsid w:val="00A5447C"/>
    <w:rsid w:val="00A6119B"/>
    <w:rsid w:val="00A61499"/>
    <w:rsid w:val="00A6215F"/>
    <w:rsid w:val="00A62173"/>
    <w:rsid w:val="00A62A77"/>
    <w:rsid w:val="00A63483"/>
    <w:rsid w:val="00A657D7"/>
    <w:rsid w:val="00A660AC"/>
    <w:rsid w:val="00A67257"/>
    <w:rsid w:val="00A67E6C"/>
    <w:rsid w:val="00A70EF8"/>
    <w:rsid w:val="00A71B6E"/>
    <w:rsid w:val="00A71B99"/>
    <w:rsid w:val="00A739D0"/>
    <w:rsid w:val="00A761D4"/>
    <w:rsid w:val="00A778D1"/>
    <w:rsid w:val="00A77EC4"/>
    <w:rsid w:val="00A8219A"/>
    <w:rsid w:val="00A8494E"/>
    <w:rsid w:val="00A878CC"/>
    <w:rsid w:val="00A915A7"/>
    <w:rsid w:val="00A92879"/>
    <w:rsid w:val="00A9442A"/>
    <w:rsid w:val="00AA016F"/>
    <w:rsid w:val="00AA1692"/>
    <w:rsid w:val="00AA1ED6"/>
    <w:rsid w:val="00AA51D6"/>
    <w:rsid w:val="00AA5C3C"/>
    <w:rsid w:val="00AB0BC8"/>
    <w:rsid w:val="00AB11CA"/>
    <w:rsid w:val="00AB14D9"/>
    <w:rsid w:val="00AB4AB8"/>
    <w:rsid w:val="00AB5A7C"/>
    <w:rsid w:val="00AB655E"/>
    <w:rsid w:val="00AB6B1B"/>
    <w:rsid w:val="00AB71D5"/>
    <w:rsid w:val="00AC007F"/>
    <w:rsid w:val="00AC2ECD"/>
    <w:rsid w:val="00AC3119"/>
    <w:rsid w:val="00AC363E"/>
    <w:rsid w:val="00AC3E6C"/>
    <w:rsid w:val="00AC49FB"/>
    <w:rsid w:val="00AC5A10"/>
    <w:rsid w:val="00AC780B"/>
    <w:rsid w:val="00AC7F46"/>
    <w:rsid w:val="00AD0AA3"/>
    <w:rsid w:val="00AD2ED0"/>
    <w:rsid w:val="00AD3F94"/>
    <w:rsid w:val="00AD4A5A"/>
    <w:rsid w:val="00AE27AC"/>
    <w:rsid w:val="00AE40E0"/>
    <w:rsid w:val="00AE4555"/>
    <w:rsid w:val="00AE4DBA"/>
    <w:rsid w:val="00AE4F07"/>
    <w:rsid w:val="00AF1660"/>
    <w:rsid w:val="00AF1C5D"/>
    <w:rsid w:val="00AF279D"/>
    <w:rsid w:val="00AF2A1C"/>
    <w:rsid w:val="00AF42D7"/>
    <w:rsid w:val="00AF75AE"/>
    <w:rsid w:val="00B006FE"/>
    <w:rsid w:val="00B007CB"/>
    <w:rsid w:val="00B00C61"/>
    <w:rsid w:val="00B00CE0"/>
    <w:rsid w:val="00B02AA9"/>
    <w:rsid w:val="00B02FA3"/>
    <w:rsid w:val="00B05084"/>
    <w:rsid w:val="00B103E4"/>
    <w:rsid w:val="00B14A0B"/>
    <w:rsid w:val="00B157F9"/>
    <w:rsid w:val="00B20256"/>
    <w:rsid w:val="00B20D09"/>
    <w:rsid w:val="00B22836"/>
    <w:rsid w:val="00B264A8"/>
    <w:rsid w:val="00B2763F"/>
    <w:rsid w:val="00B27AAC"/>
    <w:rsid w:val="00B30605"/>
    <w:rsid w:val="00B30929"/>
    <w:rsid w:val="00B34316"/>
    <w:rsid w:val="00B36236"/>
    <w:rsid w:val="00B372AA"/>
    <w:rsid w:val="00B40445"/>
    <w:rsid w:val="00B409E0"/>
    <w:rsid w:val="00B40FEB"/>
    <w:rsid w:val="00B41888"/>
    <w:rsid w:val="00B43B12"/>
    <w:rsid w:val="00B43D40"/>
    <w:rsid w:val="00B45A52"/>
    <w:rsid w:val="00B46175"/>
    <w:rsid w:val="00B51911"/>
    <w:rsid w:val="00B54644"/>
    <w:rsid w:val="00B54807"/>
    <w:rsid w:val="00B548B7"/>
    <w:rsid w:val="00B57022"/>
    <w:rsid w:val="00B5746B"/>
    <w:rsid w:val="00B62833"/>
    <w:rsid w:val="00B65460"/>
    <w:rsid w:val="00B664C7"/>
    <w:rsid w:val="00B6691E"/>
    <w:rsid w:val="00B70094"/>
    <w:rsid w:val="00B71AEF"/>
    <w:rsid w:val="00B739F6"/>
    <w:rsid w:val="00B81A6C"/>
    <w:rsid w:val="00B83E47"/>
    <w:rsid w:val="00B85BFB"/>
    <w:rsid w:val="00B85DE5"/>
    <w:rsid w:val="00B90397"/>
    <w:rsid w:val="00B90F73"/>
    <w:rsid w:val="00B93B59"/>
    <w:rsid w:val="00B9406A"/>
    <w:rsid w:val="00BA0BC1"/>
    <w:rsid w:val="00BA2280"/>
    <w:rsid w:val="00BA27CD"/>
    <w:rsid w:val="00BA2A08"/>
    <w:rsid w:val="00BA4D35"/>
    <w:rsid w:val="00BA5359"/>
    <w:rsid w:val="00BA56D2"/>
    <w:rsid w:val="00BA5838"/>
    <w:rsid w:val="00BA76E0"/>
    <w:rsid w:val="00BB230A"/>
    <w:rsid w:val="00BB2A25"/>
    <w:rsid w:val="00BB3160"/>
    <w:rsid w:val="00BB51E9"/>
    <w:rsid w:val="00BC0952"/>
    <w:rsid w:val="00BC0FDC"/>
    <w:rsid w:val="00BC3053"/>
    <w:rsid w:val="00BC35B7"/>
    <w:rsid w:val="00BC3970"/>
    <w:rsid w:val="00BC3D3B"/>
    <w:rsid w:val="00BC4D2E"/>
    <w:rsid w:val="00BD2898"/>
    <w:rsid w:val="00BD355B"/>
    <w:rsid w:val="00BD48AC"/>
    <w:rsid w:val="00BD5D75"/>
    <w:rsid w:val="00BD5F1A"/>
    <w:rsid w:val="00BD624B"/>
    <w:rsid w:val="00BE1234"/>
    <w:rsid w:val="00BE1EE5"/>
    <w:rsid w:val="00BE2FA6"/>
    <w:rsid w:val="00BE333F"/>
    <w:rsid w:val="00BE7406"/>
    <w:rsid w:val="00BE7603"/>
    <w:rsid w:val="00BF15CA"/>
    <w:rsid w:val="00BF2500"/>
    <w:rsid w:val="00BF3279"/>
    <w:rsid w:val="00BF3CD3"/>
    <w:rsid w:val="00BF74C7"/>
    <w:rsid w:val="00C013C5"/>
    <w:rsid w:val="00C015F1"/>
    <w:rsid w:val="00C01F33"/>
    <w:rsid w:val="00C02CC6"/>
    <w:rsid w:val="00C02D5A"/>
    <w:rsid w:val="00C040F7"/>
    <w:rsid w:val="00C044AB"/>
    <w:rsid w:val="00C05706"/>
    <w:rsid w:val="00C07377"/>
    <w:rsid w:val="00C10478"/>
    <w:rsid w:val="00C12107"/>
    <w:rsid w:val="00C1224D"/>
    <w:rsid w:val="00C128A3"/>
    <w:rsid w:val="00C14D4B"/>
    <w:rsid w:val="00C154BB"/>
    <w:rsid w:val="00C16E81"/>
    <w:rsid w:val="00C221D6"/>
    <w:rsid w:val="00C279B5"/>
    <w:rsid w:val="00C27B3D"/>
    <w:rsid w:val="00C27C45"/>
    <w:rsid w:val="00C3456A"/>
    <w:rsid w:val="00C37176"/>
    <w:rsid w:val="00C3719D"/>
    <w:rsid w:val="00C37CB2"/>
    <w:rsid w:val="00C46D68"/>
    <w:rsid w:val="00C473A5"/>
    <w:rsid w:val="00C513B7"/>
    <w:rsid w:val="00C51D7E"/>
    <w:rsid w:val="00C54995"/>
    <w:rsid w:val="00C54D41"/>
    <w:rsid w:val="00C60783"/>
    <w:rsid w:val="00C62FCE"/>
    <w:rsid w:val="00C645FA"/>
    <w:rsid w:val="00C64672"/>
    <w:rsid w:val="00C64FE0"/>
    <w:rsid w:val="00C6679A"/>
    <w:rsid w:val="00C66EFC"/>
    <w:rsid w:val="00C70048"/>
    <w:rsid w:val="00C70697"/>
    <w:rsid w:val="00C72093"/>
    <w:rsid w:val="00C72EF4"/>
    <w:rsid w:val="00C73859"/>
    <w:rsid w:val="00C744FE"/>
    <w:rsid w:val="00C75D2F"/>
    <w:rsid w:val="00C767BE"/>
    <w:rsid w:val="00C76E3C"/>
    <w:rsid w:val="00C81568"/>
    <w:rsid w:val="00C86CE0"/>
    <w:rsid w:val="00C9027A"/>
    <w:rsid w:val="00C9068E"/>
    <w:rsid w:val="00C90B38"/>
    <w:rsid w:val="00C93814"/>
    <w:rsid w:val="00C93C4B"/>
    <w:rsid w:val="00C944AB"/>
    <w:rsid w:val="00C95B40"/>
    <w:rsid w:val="00CA1ED8"/>
    <w:rsid w:val="00CA373E"/>
    <w:rsid w:val="00CA5608"/>
    <w:rsid w:val="00CB1F63"/>
    <w:rsid w:val="00CB457E"/>
    <w:rsid w:val="00CB7170"/>
    <w:rsid w:val="00CB724D"/>
    <w:rsid w:val="00CC040E"/>
    <w:rsid w:val="00CC111F"/>
    <w:rsid w:val="00CC2011"/>
    <w:rsid w:val="00CC2706"/>
    <w:rsid w:val="00CC3EA0"/>
    <w:rsid w:val="00CC7B45"/>
    <w:rsid w:val="00CC7C02"/>
    <w:rsid w:val="00CD1188"/>
    <w:rsid w:val="00CD1574"/>
    <w:rsid w:val="00CD2ED1"/>
    <w:rsid w:val="00CD337B"/>
    <w:rsid w:val="00CD5B0D"/>
    <w:rsid w:val="00CE0424"/>
    <w:rsid w:val="00CE07E4"/>
    <w:rsid w:val="00CE356E"/>
    <w:rsid w:val="00CE7561"/>
    <w:rsid w:val="00CF1354"/>
    <w:rsid w:val="00CF3B1F"/>
    <w:rsid w:val="00CF3BF6"/>
    <w:rsid w:val="00CF625B"/>
    <w:rsid w:val="00CF687E"/>
    <w:rsid w:val="00D027FB"/>
    <w:rsid w:val="00D02850"/>
    <w:rsid w:val="00D0349B"/>
    <w:rsid w:val="00D03B26"/>
    <w:rsid w:val="00D07036"/>
    <w:rsid w:val="00D10249"/>
    <w:rsid w:val="00D115C3"/>
    <w:rsid w:val="00D11897"/>
    <w:rsid w:val="00D12C59"/>
    <w:rsid w:val="00D13135"/>
    <w:rsid w:val="00D13E4E"/>
    <w:rsid w:val="00D21B42"/>
    <w:rsid w:val="00D239A7"/>
    <w:rsid w:val="00D23F47"/>
    <w:rsid w:val="00D25A24"/>
    <w:rsid w:val="00D36E71"/>
    <w:rsid w:val="00D37D87"/>
    <w:rsid w:val="00D40B33"/>
    <w:rsid w:val="00D4318F"/>
    <w:rsid w:val="00D438BF"/>
    <w:rsid w:val="00D440F8"/>
    <w:rsid w:val="00D46711"/>
    <w:rsid w:val="00D47368"/>
    <w:rsid w:val="00D50F9D"/>
    <w:rsid w:val="00D546FF"/>
    <w:rsid w:val="00D55AD5"/>
    <w:rsid w:val="00D576CA"/>
    <w:rsid w:val="00D61AF5"/>
    <w:rsid w:val="00D652B5"/>
    <w:rsid w:val="00D65C4C"/>
    <w:rsid w:val="00D66155"/>
    <w:rsid w:val="00D672B1"/>
    <w:rsid w:val="00D703E8"/>
    <w:rsid w:val="00D7067B"/>
    <w:rsid w:val="00D708B0"/>
    <w:rsid w:val="00D71513"/>
    <w:rsid w:val="00D72FE2"/>
    <w:rsid w:val="00D73B05"/>
    <w:rsid w:val="00D74AB6"/>
    <w:rsid w:val="00D77B1D"/>
    <w:rsid w:val="00D8021F"/>
    <w:rsid w:val="00D80383"/>
    <w:rsid w:val="00D81B8F"/>
    <w:rsid w:val="00D823C6"/>
    <w:rsid w:val="00D8327F"/>
    <w:rsid w:val="00D83446"/>
    <w:rsid w:val="00D840FE"/>
    <w:rsid w:val="00D86CA3"/>
    <w:rsid w:val="00D871CE"/>
    <w:rsid w:val="00D9196D"/>
    <w:rsid w:val="00D92982"/>
    <w:rsid w:val="00D94D5F"/>
    <w:rsid w:val="00DA10E6"/>
    <w:rsid w:val="00DA305E"/>
    <w:rsid w:val="00DA5417"/>
    <w:rsid w:val="00DA56E8"/>
    <w:rsid w:val="00DA5880"/>
    <w:rsid w:val="00DB0A9F"/>
    <w:rsid w:val="00DB1A7B"/>
    <w:rsid w:val="00DB377D"/>
    <w:rsid w:val="00DB54CD"/>
    <w:rsid w:val="00DB560A"/>
    <w:rsid w:val="00DC2D36"/>
    <w:rsid w:val="00DC4ECF"/>
    <w:rsid w:val="00DC53EF"/>
    <w:rsid w:val="00DC76C1"/>
    <w:rsid w:val="00DC791E"/>
    <w:rsid w:val="00DD0767"/>
    <w:rsid w:val="00DD395D"/>
    <w:rsid w:val="00DD665B"/>
    <w:rsid w:val="00DE5608"/>
    <w:rsid w:val="00DE58D0"/>
    <w:rsid w:val="00DE6148"/>
    <w:rsid w:val="00DE654F"/>
    <w:rsid w:val="00DF0B6E"/>
    <w:rsid w:val="00DF15E0"/>
    <w:rsid w:val="00DF37A0"/>
    <w:rsid w:val="00DF3EE1"/>
    <w:rsid w:val="00E00CD4"/>
    <w:rsid w:val="00E04FB2"/>
    <w:rsid w:val="00E05778"/>
    <w:rsid w:val="00E07F7C"/>
    <w:rsid w:val="00E110E7"/>
    <w:rsid w:val="00E1187C"/>
    <w:rsid w:val="00E11B20"/>
    <w:rsid w:val="00E17FA2"/>
    <w:rsid w:val="00E22330"/>
    <w:rsid w:val="00E26B58"/>
    <w:rsid w:val="00E305D9"/>
    <w:rsid w:val="00E30B5A"/>
    <w:rsid w:val="00E3123D"/>
    <w:rsid w:val="00E31461"/>
    <w:rsid w:val="00E31D43"/>
    <w:rsid w:val="00E32608"/>
    <w:rsid w:val="00E3372F"/>
    <w:rsid w:val="00E34188"/>
    <w:rsid w:val="00E34B6E"/>
    <w:rsid w:val="00E35559"/>
    <w:rsid w:val="00E3626A"/>
    <w:rsid w:val="00E36313"/>
    <w:rsid w:val="00E36E2B"/>
    <w:rsid w:val="00E3723A"/>
    <w:rsid w:val="00E37860"/>
    <w:rsid w:val="00E41464"/>
    <w:rsid w:val="00E446F1"/>
    <w:rsid w:val="00E4555A"/>
    <w:rsid w:val="00E46886"/>
    <w:rsid w:val="00E47AEF"/>
    <w:rsid w:val="00E53B75"/>
    <w:rsid w:val="00E54E3B"/>
    <w:rsid w:val="00E56E36"/>
    <w:rsid w:val="00E57565"/>
    <w:rsid w:val="00E57884"/>
    <w:rsid w:val="00E63838"/>
    <w:rsid w:val="00E64434"/>
    <w:rsid w:val="00E64B97"/>
    <w:rsid w:val="00E66688"/>
    <w:rsid w:val="00E678E8"/>
    <w:rsid w:val="00E67C51"/>
    <w:rsid w:val="00E71D92"/>
    <w:rsid w:val="00E72B40"/>
    <w:rsid w:val="00E72EFC"/>
    <w:rsid w:val="00E758EC"/>
    <w:rsid w:val="00E7601C"/>
    <w:rsid w:val="00E805C8"/>
    <w:rsid w:val="00E8234C"/>
    <w:rsid w:val="00E83AA9"/>
    <w:rsid w:val="00E85928"/>
    <w:rsid w:val="00E87822"/>
    <w:rsid w:val="00E90395"/>
    <w:rsid w:val="00E90BB8"/>
    <w:rsid w:val="00E90E49"/>
    <w:rsid w:val="00E917F9"/>
    <w:rsid w:val="00E9291C"/>
    <w:rsid w:val="00E93FFE"/>
    <w:rsid w:val="00E94F8A"/>
    <w:rsid w:val="00E971F8"/>
    <w:rsid w:val="00E97CE4"/>
    <w:rsid w:val="00EA4AA4"/>
    <w:rsid w:val="00EA7A41"/>
    <w:rsid w:val="00EB06F6"/>
    <w:rsid w:val="00EB077B"/>
    <w:rsid w:val="00EB4EA2"/>
    <w:rsid w:val="00EB5C5B"/>
    <w:rsid w:val="00EC0970"/>
    <w:rsid w:val="00EC24D5"/>
    <w:rsid w:val="00EC27C6"/>
    <w:rsid w:val="00EC40F7"/>
    <w:rsid w:val="00EC4207"/>
    <w:rsid w:val="00EC5653"/>
    <w:rsid w:val="00EC6494"/>
    <w:rsid w:val="00EC71CE"/>
    <w:rsid w:val="00ED0E2F"/>
    <w:rsid w:val="00ED1006"/>
    <w:rsid w:val="00ED43F5"/>
    <w:rsid w:val="00EE4F05"/>
    <w:rsid w:val="00EE7259"/>
    <w:rsid w:val="00EF18FE"/>
    <w:rsid w:val="00EF3016"/>
    <w:rsid w:val="00EF576B"/>
    <w:rsid w:val="00EF5787"/>
    <w:rsid w:val="00EF5C26"/>
    <w:rsid w:val="00EF60D0"/>
    <w:rsid w:val="00EF6D93"/>
    <w:rsid w:val="00F0528D"/>
    <w:rsid w:val="00F06C67"/>
    <w:rsid w:val="00F06DFD"/>
    <w:rsid w:val="00F071D1"/>
    <w:rsid w:val="00F07533"/>
    <w:rsid w:val="00F10629"/>
    <w:rsid w:val="00F13591"/>
    <w:rsid w:val="00F147F6"/>
    <w:rsid w:val="00F15FA5"/>
    <w:rsid w:val="00F16020"/>
    <w:rsid w:val="00F16E3D"/>
    <w:rsid w:val="00F209B7"/>
    <w:rsid w:val="00F22899"/>
    <w:rsid w:val="00F2376F"/>
    <w:rsid w:val="00F24254"/>
    <w:rsid w:val="00F243D8"/>
    <w:rsid w:val="00F30828"/>
    <w:rsid w:val="00F313D6"/>
    <w:rsid w:val="00F33B52"/>
    <w:rsid w:val="00F33C07"/>
    <w:rsid w:val="00F35AE9"/>
    <w:rsid w:val="00F37C1A"/>
    <w:rsid w:val="00F40F0C"/>
    <w:rsid w:val="00F41868"/>
    <w:rsid w:val="00F43CC3"/>
    <w:rsid w:val="00F46DE1"/>
    <w:rsid w:val="00F4766C"/>
    <w:rsid w:val="00F5018F"/>
    <w:rsid w:val="00F5060E"/>
    <w:rsid w:val="00F507D1"/>
    <w:rsid w:val="00F5142A"/>
    <w:rsid w:val="00F519CE"/>
    <w:rsid w:val="00F51ADA"/>
    <w:rsid w:val="00F52C95"/>
    <w:rsid w:val="00F57429"/>
    <w:rsid w:val="00F60203"/>
    <w:rsid w:val="00F607C5"/>
    <w:rsid w:val="00F60DEA"/>
    <w:rsid w:val="00F6302A"/>
    <w:rsid w:val="00F63950"/>
    <w:rsid w:val="00F64C2B"/>
    <w:rsid w:val="00F651BE"/>
    <w:rsid w:val="00F67F53"/>
    <w:rsid w:val="00F703BE"/>
    <w:rsid w:val="00F71F69"/>
    <w:rsid w:val="00F72B72"/>
    <w:rsid w:val="00F72D6A"/>
    <w:rsid w:val="00F74BB9"/>
    <w:rsid w:val="00F75582"/>
    <w:rsid w:val="00F76EFA"/>
    <w:rsid w:val="00F804BE"/>
    <w:rsid w:val="00F817CE"/>
    <w:rsid w:val="00F8456C"/>
    <w:rsid w:val="00F859D8"/>
    <w:rsid w:val="00F85D28"/>
    <w:rsid w:val="00F868F5"/>
    <w:rsid w:val="00F86B02"/>
    <w:rsid w:val="00F9056A"/>
    <w:rsid w:val="00F90F8D"/>
    <w:rsid w:val="00F91C7B"/>
    <w:rsid w:val="00F92782"/>
    <w:rsid w:val="00F93AA9"/>
    <w:rsid w:val="00F96124"/>
    <w:rsid w:val="00F96985"/>
    <w:rsid w:val="00F971D6"/>
    <w:rsid w:val="00F97838"/>
    <w:rsid w:val="00FA2948"/>
    <w:rsid w:val="00FA2BB3"/>
    <w:rsid w:val="00FA588F"/>
    <w:rsid w:val="00FB3946"/>
    <w:rsid w:val="00FB4C80"/>
    <w:rsid w:val="00FB6A6A"/>
    <w:rsid w:val="00FC092B"/>
    <w:rsid w:val="00FC191F"/>
    <w:rsid w:val="00FC215B"/>
    <w:rsid w:val="00FC7429"/>
    <w:rsid w:val="00FD07F6"/>
    <w:rsid w:val="00FD1E01"/>
    <w:rsid w:val="00FD1EC8"/>
    <w:rsid w:val="00FD47ED"/>
    <w:rsid w:val="00FD597D"/>
    <w:rsid w:val="00FD6D15"/>
    <w:rsid w:val="00FD74DB"/>
    <w:rsid w:val="00FD7660"/>
    <w:rsid w:val="00FE0655"/>
    <w:rsid w:val="00FE2365"/>
    <w:rsid w:val="00FE37D7"/>
    <w:rsid w:val="00FE406A"/>
    <w:rsid w:val="00FE4C7B"/>
    <w:rsid w:val="00FE7336"/>
    <w:rsid w:val="00FE787C"/>
    <w:rsid w:val="00FF0DBF"/>
    <w:rsid w:val="00FF168E"/>
    <w:rsid w:val="00FF26E3"/>
    <w:rsid w:val="00FF3E97"/>
    <w:rsid w:val="00FF3EB4"/>
    <w:rsid w:val="00FF45A5"/>
    <w:rsid w:val="00FF5C91"/>
    <w:rsid w:val="00FF5FB0"/>
    <w:rsid w:val="00FF66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45281"/>
  <w15:chartTrackingRefBased/>
  <w15:docId w15:val="{07ADF90A-F530-4886-B754-EB6480BDF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qFormat/>
    <w:rsid w:val="003A70A4"/>
    <w:pPr>
      <w:numPr>
        <w:numId w:val="2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aa">
    <w:name w:val="aaa"/>
    <w:basedOn w:val="Normal"/>
    <w:qFormat/>
    <w:rsid w:val="00911414"/>
    <w:pPr>
      <w:overflowPunct/>
      <w:autoSpaceDE/>
      <w:autoSpaceDN/>
      <w:adjustRightInd/>
      <w:spacing w:after="160" w:line="256" w:lineRule="auto"/>
      <w:textAlignment w:val="auto"/>
    </w:pPr>
    <w:rPr>
      <w:rFonts w:ascii="Arial" w:eastAsiaTheme="minorHAnsi" w:hAnsi="Arial" w:cstheme="minorBidi"/>
      <w:color w:val="000000" w:themeColor="text1"/>
      <w:szCs w:val="22"/>
    </w:rPr>
  </w:style>
  <w:style w:type="character" w:customStyle="1" w:styleId="ProposalChar">
    <w:name w:val="Proposal Char"/>
    <w:basedOn w:val="DefaultParagraphFont"/>
    <w:link w:val="Proposal"/>
    <w:qFormat/>
    <w:rsid w:val="00DC76C1"/>
    <w:rPr>
      <w:rFonts w:ascii="Arial" w:hAnsi="Arial"/>
      <w:b/>
      <w:bCs/>
      <w:lang w:eastAsia="zh-CN"/>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E9C9A1-A5B0-4B36-A684-261026F40EB6}">
  <ds:schemaRefs>
    <ds:schemaRef ds:uri="http://schemas.microsoft.com/office/2006/metadata/properties"/>
    <ds:schemaRef ds:uri="d8762117-8292-4133-b1c7-eab5c6487cfd"/>
    <ds:schemaRef ds:uri="http://schemas.microsoft.com/office/2006/documentManagement/types"/>
    <ds:schemaRef ds:uri="http://purl.org/dc/dcmitype/"/>
    <ds:schemaRef ds:uri="http://schemas.microsoft.com/sharepoint/v3"/>
    <ds:schemaRef ds:uri="http://www.w3.org/XML/1998/namespace"/>
    <ds:schemaRef ds:uri="http://purl.org/dc/terms/"/>
    <ds:schemaRef ds:uri="http://schemas.microsoft.com/office/infopath/2007/PartnerControls"/>
    <ds:schemaRef ds:uri="http://purl.org/dc/elements/1.1/"/>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F2934718-953D-4D83-8C02-A89661481051}">
  <ds:schemaRefs>
    <ds:schemaRef ds:uri="http://schemas.microsoft.com/sharepoint/v3/contenttype/forms"/>
  </ds:schemaRefs>
</ds:datastoreItem>
</file>

<file path=customXml/itemProps3.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4.xml><?xml version="1.0" encoding="utf-8"?>
<ds:datastoreItem xmlns:ds="http://schemas.openxmlformats.org/officeDocument/2006/customXml" ds:itemID="{505A7EB6-9416-4A5C-A37F-1623A67B0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41</TotalTime>
  <Pages>10</Pages>
  <Words>4773</Words>
  <Characters>27211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31921</CharactersWithSpaces>
  <SharedDoc>false</SharedDoc>
  <HLinks>
    <vt:vector size="108" baseType="variant">
      <vt:variant>
        <vt:i4>1179710</vt:i4>
      </vt:variant>
      <vt:variant>
        <vt:i4>107</vt:i4>
      </vt:variant>
      <vt:variant>
        <vt:i4>0</vt:i4>
      </vt:variant>
      <vt:variant>
        <vt:i4>5</vt:i4>
      </vt:variant>
      <vt:variant>
        <vt:lpwstr/>
      </vt:variant>
      <vt:variant>
        <vt:lpwstr>_Toc159235576</vt:lpwstr>
      </vt:variant>
      <vt:variant>
        <vt:i4>1179710</vt:i4>
      </vt:variant>
      <vt:variant>
        <vt:i4>104</vt:i4>
      </vt:variant>
      <vt:variant>
        <vt:i4>0</vt:i4>
      </vt:variant>
      <vt:variant>
        <vt:i4>5</vt:i4>
      </vt:variant>
      <vt:variant>
        <vt:lpwstr/>
      </vt:variant>
      <vt:variant>
        <vt:lpwstr>_Toc159235575</vt:lpwstr>
      </vt:variant>
      <vt:variant>
        <vt:i4>1179710</vt:i4>
      </vt:variant>
      <vt:variant>
        <vt:i4>101</vt:i4>
      </vt:variant>
      <vt:variant>
        <vt:i4>0</vt:i4>
      </vt:variant>
      <vt:variant>
        <vt:i4>5</vt:i4>
      </vt:variant>
      <vt:variant>
        <vt:lpwstr/>
      </vt:variant>
      <vt:variant>
        <vt:lpwstr>_Toc159235574</vt:lpwstr>
      </vt:variant>
      <vt:variant>
        <vt:i4>1179710</vt:i4>
      </vt:variant>
      <vt:variant>
        <vt:i4>98</vt:i4>
      </vt:variant>
      <vt:variant>
        <vt:i4>0</vt:i4>
      </vt:variant>
      <vt:variant>
        <vt:i4>5</vt:i4>
      </vt:variant>
      <vt:variant>
        <vt:lpwstr/>
      </vt:variant>
      <vt:variant>
        <vt:lpwstr>_Toc159235573</vt:lpwstr>
      </vt:variant>
      <vt:variant>
        <vt:i4>1179710</vt:i4>
      </vt:variant>
      <vt:variant>
        <vt:i4>95</vt:i4>
      </vt:variant>
      <vt:variant>
        <vt:i4>0</vt:i4>
      </vt:variant>
      <vt:variant>
        <vt:i4>5</vt:i4>
      </vt:variant>
      <vt:variant>
        <vt:lpwstr/>
      </vt:variant>
      <vt:variant>
        <vt:lpwstr>_Toc159235572</vt:lpwstr>
      </vt:variant>
      <vt:variant>
        <vt:i4>1179710</vt:i4>
      </vt:variant>
      <vt:variant>
        <vt:i4>92</vt:i4>
      </vt:variant>
      <vt:variant>
        <vt:i4>0</vt:i4>
      </vt:variant>
      <vt:variant>
        <vt:i4>5</vt:i4>
      </vt:variant>
      <vt:variant>
        <vt:lpwstr/>
      </vt:variant>
      <vt:variant>
        <vt:lpwstr>_Toc159235571</vt:lpwstr>
      </vt:variant>
      <vt:variant>
        <vt:i4>1179710</vt:i4>
      </vt:variant>
      <vt:variant>
        <vt:i4>89</vt:i4>
      </vt:variant>
      <vt:variant>
        <vt:i4>0</vt:i4>
      </vt:variant>
      <vt:variant>
        <vt:i4>5</vt:i4>
      </vt:variant>
      <vt:variant>
        <vt:lpwstr/>
      </vt:variant>
      <vt:variant>
        <vt:lpwstr>_Toc159235570</vt:lpwstr>
      </vt:variant>
      <vt:variant>
        <vt:i4>1245246</vt:i4>
      </vt:variant>
      <vt:variant>
        <vt:i4>86</vt:i4>
      </vt:variant>
      <vt:variant>
        <vt:i4>0</vt:i4>
      </vt:variant>
      <vt:variant>
        <vt:i4>5</vt:i4>
      </vt:variant>
      <vt:variant>
        <vt:lpwstr/>
      </vt:variant>
      <vt:variant>
        <vt:lpwstr>_Toc159235569</vt:lpwstr>
      </vt:variant>
      <vt:variant>
        <vt:i4>1245246</vt:i4>
      </vt:variant>
      <vt:variant>
        <vt:i4>83</vt:i4>
      </vt:variant>
      <vt:variant>
        <vt:i4>0</vt:i4>
      </vt:variant>
      <vt:variant>
        <vt:i4>5</vt:i4>
      </vt:variant>
      <vt:variant>
        <vt:lpwstr/>
      </vt:variant>
      <vt:variant>
        <vt:lpwstr>_Toc159235568</vt:lpwstr>
      </vt:variant>
      <vt:variant>
        <vt:i4>1245246</vt:i4>
      </vt:variant>
      <vt:variant>
        <vt:i4>80</vt:i4>
      </vt:variant>
      <vt:variant>
        <vt:i4>0</vt:i4>
      </vt:variant>
      <vt:variant>
        <vt:i4>5</vt:i4>
      </vt:variant>
      <vt:variant>
        <vt:lpwstr/>
      </vt:variant>
      <vt:variant>
        <vt:lpwstr>_Toc159235567</vt:lpwstr>
      </vt:variant>
      <vt:variant>
        <vt:i4>1245246</vt:i4>
      </vt:variant>
      <vt:variant>
        <vt:i4>74</vt:i4>
      </vt:variant>
      <vt:variant>
        <vt:i4>0</vt:i4>
      </vt:variant>
      <vt:variant>
        <vt:i4>5</vt:i4>
      </vt:variant>
      <vt:variant>
        <vt:lpwstr/>
      </vt:variant>
      <vt:variant>
        <vt:lpwstr>_Toc159235566</vt:lpwstr>
      </vt:variant>
      <vt:variant>
        <vt:i4>1245246</vt:i4>
      </vt:variant>
      <vt:variant>
        <vt:i4>71</vt:i4>
      </vt:variant>
      <vt:variant>
        <vt:i4>0</vt:i4>
      </vt:variant>
      <vt:variant>
        <vt:i4>5</vt:i4>
      </vt:variant>
      <vt:variant>
        <vt:lpwstr/>
      </vt:variant>
      <vt:variant>
        <vt:lpwstr>_Toc159235565</vt:lpwstr>
      </vt:variant>
      <vt:variant>
        <vt:i4>1245246</vt:i4>
      </vt:variant>
      <vt:variant>
        <vt:i4>68</vt:i4>
      </vt:variant>
      <vt:variant>
        <vt:i4>0</vt:i4>
      </vt:variant>
      <vt:variant>
        <vt:i4>5</vt:i4>
      </vt:variant>
      <vt:variant>
        <vt:lpwstr/>
      </vt:variant>
      <vt:variant>
        <vt:lpwstr>_Toc159235564</vt:lpwstr>
      </vt:variant>
      <vt:variant>
        <vt:i4>1245246</vt:i4>
      </vt:variant>
      <vt:variant>
        <vt:i4>65</vt:i4>
      </vt:variant>
      <vt:variant>
        <vt:i4>0</vt:i4>
      </vt:variant>
      <vt:variant>
        <vt:i4>5</vt:i4>
      </vt:variant>
      <vt:variant>
        <vt:lpwstr/>
      </vt:variant>
      <vt:variant>
        <vt:lpwstr>_Toc159235563</vt:lpwstr>
      </vt:variant>
      <vt:variant>
        <vt:i4>1245246</vt:i4>
      </vt:variant>
      <vt:variant>
        <vt:i4>62</vt:i4>
      </vt:variant>
      <vt:variant>
        <vt:i4>0</vt:i4>
      </vt:variant>
      <vt:variant>
        <vt:i4>5</vt:i4>
      </vt:variant>
      <vt:variant>
        <vt:lpwstr/>
      </vt:variant>
      <vt:variant>
        <vt:lpwstr>_Toc159235562</vt:lpwstr>
      </vt:variant>
      <vt:variant>
        <vt:i4>1245246</vt:i4>
      </vt:variant>
      <vt:variant>
        <vt:i4>59</vt:i4>
      </vt:variant>
      <vt:variant>
        <vt:i4>0</vt:i4>
      </vt:variant>
      <vt:variant>
        <vt:i4>5</vt:i4>
      </vt:variant>
      <vt:variant>
        <vt:lpwstr/>
      </vt:variant>
      <vt:variant>
        <vt:lpwstr>_Toc159235561</vt:lpwstr>
      </vt:variant>
      <vt:variant>
        <vt:i4>1245246</vt:i4>
      </vt:variant>
      <vt:variant>
        <vt:i4>56</vt:i4>
      </vt:variant>
      <vt:variant>
        <vt:i4>0</vt:i4>
      </vt:variant>
      <vt:variant>
        <vt:i4>5</vt:i4>
      </vt:variant>
      <vt:variant>
        <vt:lpwstr/>
      </vt:variant>
      <vt:variant>
        <vt:lpwstr>_Toc159235560</vt:lpwstr>
      </vt:variant>
      <vt:variant>
        <vt:i4>1048638</vt:i4>
      </vt:variant>
      <vt:variant>
        <vt:i4>53</vt:i4>
      </vt:variant>
      <vt:variant>
        <vt:i4>0</vt:i4>
      </vt:variant>
      <vt:variant>
        <vt:i4>5</vt:i4>
      </vt:variant>
      <vt:variant>
        <vt:lpwstr/>
      </vt:variant>
      <vt:variant>
        <vt:lpwstr>_Toc159235559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Claes Tidestav</cp:lastModifiedBy>
  <cp:revision>18</cp:revision>
  <cp:lastPrinted>2024-02-19T13:06:00Z</cp:lastPrinted>
  <dcterms:created xsi:type="dcterms:W3CDTF">2024-02-19T10:40:00Z</dcterms:created>
  <dcterms:modified xsi:type="dcterms:W3CDTF">2024-02-19T13:22:00Z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